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6FE66BAE" w14:textId="77777777">
      <w:pPr>
        <w:pBdr/>
        <w:spacing w:after="0" w:line="240" w:lineRule="auto"/>
        <w:ind/>
        <w:rPr>
          <w:rFonts w:ascii="Calibri" w:hAnsi="Calibri" w:eastAsia="Calibri" w:cs="Calibri"/>
          <w:b/>
          <w:bCs/>
        </w:rPr>
      </w:pPr>
      <w:r>
        <w:rPr>
          <w:rFonts w:ascii="Calibri" w:hAnsi="Calibri" w:eastAsia="Calibri" w:cs="Calibri"/>
          <w:b/>
          <w:bCs/>
        </w:rPr>
        <w:t xml:space="preserve">PUBLIKACE Z REGISTRU</w:t>
      </w:r>
      <w:r>
        <w:rPr>
          <w:rFonts w:ascii="Calibri" w:hAnsi="Calibri" w:eastAsia="Calibri" w:cs="Calibri"/>
          <w:b/>
          <w:bCs/>
        </w:rPr>
      </w:r>
    </w:p>
    <w:p w14:paraId="75BDDBA2" w14:textId="77777777">
      <w:pPr>
        <w:numPr>
          <w:ilvl w:val="0"/>
          <w:numId w:val="2"/>
        </w:numPr>
        <w:pBdr/>
        <w:spacing w:after="0" w:line="240" w:lineRule="auto"/>
        <w:ind/>
        <w:rPr>
          <w:rFonts w:ascii="Calibri" w:hAnsi="Calibri" w:eastAsia="Calibri" w:cs="Calibri"/>
          <w:b/>
          <w:bCs/>
        </w:rPr>
      </w:pPr>
      <w:r>
        <w:rPr>
          <w:rFonts w:ascii="Calibri" w:hAnsi="Calibri" w:eastAsia="Calibri" w:cs="Calibri"/>
        </w:rPr>
        <w:t xml:space="preserve">P</w:t>
      </w:r>
      <w:r>
        <w:rPr>
          <w:rFonts w:ascii="Calibri" w:hAnsi="Calibri" w:eastAsia="Calibri" w:cs="Times New Roman"/>
        </w:rPr>
        <w:t xml:space="preserve">ublikace s </w:t>
      </w:r>
      <w:r>
        <w:rPr>
          <w:rFonts w:ascii="Calibri" w:hAnsi="Calibri" w:eastAsia="Calibri" w:cs="Times New Roman"/>
          <w:b/>
          <w:bCs/>
        </w:rPr>
        <w:t xml:space="preserve">IF označeny</w:t>
      </w:r>
      <w:r>
        <w:rPr>
          <w:rFonts w:ascii="Calibri" w:hAnsi="Calibri" w:eastAsia="Calibri" w:cs="Times New Roman"/>
          <w:b/>
          <w:bCs/>
        </w:rPr>
        <w:t xml:space="preserve"> tučně</w:t>
      </w:r>
      <w:r>
        <w:rPr>
          <w:rFonts w:ascii="Calibri" w:hAnsi="Calibri" w:eastAsia="Calibri" w:cs="Times New Roman"/>
        </w:rPr>
        <w:t xml:space="preserve">, </w:t>
      </w:r>
      <w:r>
        <w:rPr>
          <w:rFonts w:ascii="Calibri" w:hAnsi="Calibri" w:eastAsia="Calibri" w:cs="Times New Roman"/>
          <w:i/>
          <w:iCs/>
        </w:rPr>
        <w:t xml:space="preserve">kurzivou označeny postery</w:t>
      </w:r>
      <w:r>
        <w:rPr>
          <w:rFonts w:ascii="Calibri" w:hAnsi="Calibri" w:eastAsia="Calibri" w:cs="Times New Roman"/>
        </w:rPr>
        <w:t xml:space="preserve">, ostatní v české odborné literatuře</w:t>
      </w:r>
      <w:r>
        <w:rPr>
          <w:rFonts w:ascii="Calibri" w:hAnsi="Calibri" w:eastAsia="Calibri" w:cs="Calibri"/>
          <w:b/>
          <w:bCs/>
        </w:rPr>
      </w:r>
    </w:p>
    <w:p w14:paraId="7E8B006F" w14:textId="77777777">
      <w:pPr>
        <w:pStyle w:val="758"/>
        <w:pBdr/>
        <w:spacing/>
        <w:ind/>
        <w:rPr>
          <w:rFonts w:ascii="Calibri" w:hAnsi="Calibri" w:eastAsia="Times New Roman" w:cs="Calibri"/>
          <w:b/>
          <w:bCs/>
          <w:lang w:eastAsia="cs-CZ"/>
          <w14:ligatures w14:val="none"/>
        </w:rPr>
      </w:pPr>
      <w:r>
        <w:rPr>
          <w:rFonts w:ascii="Calibri" w:hAnsi="Calibri" w:eastAsia="Times New Roman" w:cs="Calibri"/>
          <w:b/>
          <w:bCs/>
          <w:lang w:eastAsia="cs-CZ"/>
          <w14:ligatures w14:val="none"/>
        </w:rPr>
      </w:r>
      <w:r>
        <w:rPr>
          <w:rFonts w:ascii="Calibri" w:hAnsi="Calibri" w:eastAsia="Times New Roman" w:cs="Calibri"/>
          <w:b/>
          <w:bCs/>
          <w:lang w:eastAsia="cs-CZ"/>
          <w14:ligatures w14:val="none"/>
        </w:rPr>
      </w:r>
    </w:p>
    <w:p w14:paraId="2ADBDABB" w14:textId="5C2124BB">
      <w:pPr>
        <w:pStyle w:val="758"/>
        <w:numPr>
          <w:ilvl w:val="0"/>
          <w:numId w:val="1"/>
        </w:numPr>
        <w:pBdr/>
        <w:spacing/>
        <w:ind/>
        <w:rPr>
          <w:rFonts w:ascii="Calibri" w:hAnsi="Calibri" w:eastAsia="Times New Roman" w:cs="Calibri"/>
          <w:b/>
          <w:bCs/>
          <w:lang w:eastAsia="cs-CZ"/>
          <w14:ligatures w14:val="none"/>
        </w:rPr>
      </w:pPr>
      <w:r>
        <w:rPr>
          <w:rFonts w:ascii="Calibri" w:hAnsi="Calibri" w:eastAsia="Times New Roman" w:cs="Calibri"/>
          <w:b/>
          <w:bCs/>
          <w:lang w:eastAsia="cs-CZ"/>
          <w14:ligatures w14:val="none"/>
        </w:rPr>
        <w:t xml:space="preserve">Rob F, Kojanová M, Hercogová JT, Baláž M, Horažďovský J, Vantuchová Y, Jandová M, Hrazdírová K, Nečas M, Stuchlík D, Říčař J, Antal Z, Gkalpakiotis S. </w:t>
      </w:r>
      <w:r>
        <w:rPr>
          <w:rFonts w:ascii="Calibri" w:hAnsi="Calibri" w:eastAsia="Times New Roman" w:cs="Calibri"/>
          <w:b/>
          <w:bCs/>
          <w:color w:val="3a7c22" w:themeColor="accent6" w:themeShade="BF"/>
          <w:lang w:eastAsia="cs-CZ"/>
          <w14:ligatures w14:val="none"/>
        </w:rPr>
        <w:t xml:space="preserve">Efficacy and Safety Evaluation of Different Lebrikizumab Dosages in Atopic Dermatitis Patients Over 16 to 24 Weeks: A BIOREP Registry Analysis.</w:t>
      </w:r>
      <w:r>
        <w:rPr>
          <w:rFonts w:ascii="Calibri" w:hAnsi="Calibri" w:eastAsia="Times New Roman" w:cs="Calibri"/>
          <w:b/>
          <w:bCs/>
          <w:lang w:eastAsia="cs-CZ"/>
          <w14:ligatures w14:val="none"/>
        </w:rPr>
        <w:t xml:space="preserve"> Int J Dermatol. 202</w:t>
      </w:r>
      <w:r>
        <w:rPr>
          <w:rFonts w:ascii="Calibri" w:hAnsi="Calibri" w:eastAsia="Times New Roman" w:cs="Calibri"/>
          <w:b/>
          <w:bCs/>
          <w:lang w:eastAsia="cs-CZ"/>
          <w14:ligatures w14:val="none"/>
        </w:rPr>
        <w:t xml:space="preserve">6</w:t>
      </w:r>
      <w:r>
        <w:rPr>
          <w:rFonts w:ascii="Calibri" w:hAnsi="Calibri" w:eastAsia="Times New Roman" w:cs="Calibri"/>
          <w:b/>
          <w:bCs/>
          <w:lang w:eastAsia="cs-CZ"/>
          <w14:ligatures w14:val="none"/>
        </w:rPr>
        <w:t xml:space="preserve"> </w:t>
      </w:r>
      <w:r>
        <w:rPr>
          <w:rFonts w:ascii="Calibri" w:hAnsi="Calibri" w:eastAsia="Times New Roman" w:cs="Calibri"/>
          <w:b/>
          <w:bCs/>
          <w:lang w:eastAsia="cs-CZ"/>
          <w14:ligatures w14:val="none"/>
        </w:rPr>
        <w:t xml:space="preserve">May;65(5):1061-1063. doi: 10.1111/ijd.70180. Epub 2025 Nov 28.</w:t>
      </w:r>
      <w:r>
        <w:rPr>
          <w:rFonts w:ascii="Calibri" w:hAnsi="Calibri" w:eastAsia="Times New Roman" w:cs="Calibri"/>
          <w:b/>
          <w:bCs/>
          <w:lang w:eastAsia="cs-CZ"/>
          <w14:ligatures w14:val="none"/>
        </w:rPr>
      </w:r>
    </w:p>
    <w:p w14:paraId="0F9FC593" w14:textId="5292230B">
      <w:pPr>
        <w:numPr>
          <w:ilvl w:val="0"/>
          <w:numId w:val="1"/>
        </w:numPr>
        <w:pBdr/>
        <w:shd w:val="clear" w:color="auto" w:fill="ffffff"/>
        <w:spacing w:after="120" w:before="100" w:beforeAutospacing="1" w:line="240" w:lineRule="auto"/>
        <w:ind/>
        <w:rPr>
          <w:rFonts w:ascii="Calibri" w:hAnsi="Calibri" w:eastAsia="Times New Roman" w:cs="Calibri"/>
          <w:b/>
          <w:bCs/>
          <w:lang w:eastAsia="cs-CZ"/>
          <w14:ligatures w14:val="none"/>
        </w:rPr>
      </w:pPr>
      <w:r>
        <w:rPr>
          <w:rFonts w:ascii="Calibri" w:hAnsi="Calibri" w:eastAsia="Times New Roman" w:cs="Calibri"/>
          <w:b/>
          <w:bCs/>
          <w:lang w:eastAsia="cs-CZ"/>
          <w14:ligatures w14:val="none"/>
        </w:rPr>
        <w:t xml:space="preserve">Kojanova M, Pejrilova D, Fialova J, Cetkovska P, Gkalpakiotis S, Machovcova A, Arenberger P, Stork J, Dolezal T, Tichy M; </w:t>
      </w:r>
      <w:r>
        <w:rPr>
          <w:rFonts w:ascii="Calibri" w:hAnsi="Calibri" w:eastAsia="Times New Roman" w:cs="Calibri"/>
          <w:b/>
          <w:bCs/>
          <w:u w:val="single"/>
          <w:lang w:eastAsia="cs-CZ"/>
          <w14:ligatures w14:val="none"/>
        </w:rPr>
        <w:t xml:space="preserve">BIOREP study group</w:t>
      </w:r>
      <w:r>
        <w:rPr>
          <w:rFonts w:ascii="Calibri" w:hAnsi="Calibri" w:eastAsia="Times New Roman" w:cs="Calibri"/>
          <w:b/>
          <w:bCs/>
          <w:lang w:eastAsia="cs-CZ"/>
          <w14:ligatures w14:val="none"/>
        </w:rPr>
        <w:t xml:space="preserve">. </w:t>
      </w:r>
      <w:r>
        <w:rPr>
          <w:rFonts w:ascii="Calibri" w:hAnsi="Calibri" w:eastAsia="Times New Roman" w:cs="Calibri"/>
          <w:b/>
          <w:bCs/>
          <w:color w:val="3a7c22" w:themeColor="accent6" w:themeShade="BF"/>
          <w:lang w:eastAsia="cs-CZ"/>
          <w14:ligatures w14:val="none"/>
        </w:rPr>
        <w:t xml:space="preserve">Super-Response to Guselkumab Treatment in Patients With Moderate-to-Severe Psoriasis: Real-World Data With Up to Five Years of Follow-Up in The Czech Republic.</w:t>
      </w:r>
      <w:r>
        <w:rPr>
          <w:rFonts w:ascii="Calibri" w:hAnsi="Calibri" w:eastAsia="Times New Roman" w:cs="Calibri"/>
          <w:b/>
          <w:bCs/>
          <w:lang w:eastAsia="cs-CZ"/>
          <w14:ligatures w14:val="none"/>
        </w:rPr>
        <w:t xml:space="preserve"> </w:t>
      </w:r>
      <w:r>
        <w:rPr>
          <w:rFonts w:ascii="Calibri" w:hAnsi="Calibri" w:eastAsia="Times New Roman" w:cs="Calibri"/>
          <w:b/>
          <w:bCs/>
          <w:lang w:eastAsia="cs-CZ"/>
          <w14:ligatures w14:val="none"/>
        </w:rPr>
        <w:t xml:space="preserve">Int J Dermatol. 2026 May;65(5):980-990. doi: 10.1111/ijd.70126. Epub 2025 Oct 31.</w:t>
      </w:r>
      <w:r>
        <w:rPr>
          <w:rFonts w:ascii="Calibri" w:hAnsi="Calibri" w:eastAsia="Times New Roman" w:cs="Calibri"/>
          <w:b/>
          <w:bCs/>
          <w:lang w:eastAsia="cs-CZ"/>
          <w14:ligatures w14:val="none"/>
        </w:rPr>
      </w:r>
    </w:p>
    <w:p w14:paraId="490A6B5F" w14:textId="580FE602">
      <w:pPr>
        <w:numPr>
          <w:ilvl w:val="0"/>
          <w:numId w:val="1"/>
        </w:numPr>
        <w:pBdr/>
        <w:spacing w:line="240" w:lineRule="auto"/>
        <w:ind/>
        <w:rPr>
          <w:rFonts w:ascii="Calibri" w:hAnsi="Calibri" w:eastAsia="Times New Roman" w:cs="Calibri"/>
          <w:i/>
          <w:iCs/>
          <w:lang w:eastAsia="cs-CZ"/>
          <w14:ligatures w14:val="none"/>
        </w:rPr>
      </w:pPr>
      <w:r>
        <w:rPr>
          <w:rFonts w:ascii="Calibri" w:hAnsi="Calibri" w:eastAsia="Times New Roman" w:cs="Calibri"/>
          <w:i/>
          <w:iCs/>
          <w:lang w:eastAsia="cs-CZ"/>
          <w14:ligatures w14:val="none"/>
        </w:rPr>
        <w:t xml:space="preserve">Kunesova N, Kojanova M, Fialova J, Cetkovska P, Gkalpakiotis S, Machovcova A, Stork J, Arenberger P, Pejrilova D, Rob F and the </w:t>
      </w:r>
      <w:r>
        <w:rPr>
          <w:rFonts w:ascii="Calibri" w:hAnsi="Calibri" w:eastAsia="Times New Roman" w:cs="Calibri"/>
          <w:i/>
          <w:iCs/>
          <w:u w:val="single"/>
          <w:lang w:eastAsia="cs-CZ"/>
          <w14:ligatures w14:val="none"/>
        </w:rPr>
        <w:t xml:space="preserve">BIOREP study group</w:t>
      </w:r>
      <w:r>
        <w:rPr>
          <w:rFonts w:ascii="Calibri" w:hAnsi="Calibri" w:eastAsia="Times New Roman" w:cs="Calibri"/>
          <w:i/>
          <w:iCs/>
          <w:lang w:eastAsia="cs-CZ"/>
          <w14:ligatures w14:val="none"/>
        </w:rPr>
        <w:t xml:space="preserve">. </w:t>
      </w:r>
      <w:r>
        <w:rPr>
          <w:rFonts w:ascii="Calibri" w:hAnsi="Calibri" w:eastAsia="Times New Roman" w:cs="Calibri"/>
          <w:i/>
          <w:iCs/>
          <w:color w:val="3a7c22" w:themeColor="accent6" w:themeShade="BF"/>
          <w:lang w:eastAsia="cs-CZ"/>
          <w14:ligatures w14:val="none"/>
        </w:rPr>
        <w:t xml:space="preserve">Dupilumab for the treatment of severe atopic dermatitis: Real-world data from the Czech BIOREP registry. </w:t>
      </w:r>
      <w:r>
        <w:rPr>
          <w:rFonts w:ascii="Calibri" w:hAnsi="Calibri" w:eastAsia="Times New Roman" w:cs="Calibri"/>
          <w:i/>
          <w:iCs/>
          <w:lang w:eastAsia="cs-CZ"/>
          <w14:ligatures w14:val="none"/>
        </w:rPr>
        <w:t xml:space="preserve">2026 EADV Congress Athens, Abstract ID 1413, e-poster number P0115.</w:t>
      </w:r>
      <w:r>
        <w:rPr>
          <w:rFonts w:ascii="Calibri" w:hAnsi="Calibri" w:eastAsia="Times New Roman" w:cs="Calibri"/>
          <w:i/>
          <w:iCs/>
          <w:lang w:eastAsia="cs-CZ"/>
          <w14:ligatures w14:val="none"/>
        </w:rPr>
      </w:r>
    </w:p>
    <w:p w14:paraId="2FC60A2F" w14:textId="77777777">
      <w:pPr>
        <w:numPr>
          <w:ilvl w:val="0"/>
          <w:numId w:val="1"/>
        </w:numPr>
        <w:pBdr/>
        <w:spacing w:line="240" w:lineRule="auto"/>
        <w:ind/>
        <w:rPr>
          <w:rFonts w:ascii="Calibri" w:hAnsi="Calibri" w:eastAsia="Times New Roman" w:cs="Calibri"/>
          <w:i/>
          <w:iCs/>
          <w:lang w:eastAsia="cs-CZ"/>
          <w14:ligatures w14:val="none"/>
        </w:rPr>
      </w:pPr>
      <w:r>
        <w:rPr>
          <w:rFonts w:ascii="Calibri" w:hAnsi="Calibri" w:eastAsia="Times New Roman" w:cs="Calibri"/>
          <w:i/>
          <w:iCs/>
          <w:lang w:eastAsia="cs-CZ"/>
          <w14:ligatures w14:val="none"/>
        </w:rPr>
        <w:t xml:space="preserve">Kojanova M, Turkova B</w:t>
      </w:r>
      <w:r>
        <w:rPr>
          <w:rFonts w:ascii="Calibri" w:hAnsi="Calibri" w:eastAsia="Times New Roman" w:cs="Calibri"/>
          <w:i/>
          <w:iCs/>
          <w:lang w:eastAsia="cs-CZ"/>
          <w14:ligatures w14:val="none"/>
        </w:rPr>
        <w:t xml:space="preserve">, Benda J, Sobisek L, Fialova J, Kunesova N, Cetkovsky M, Rob F, Novakova M, Gkalpakiotis S, Gkalpakioti P, Tichy M, Sternbersky J, Celakovska J, Jandova M, Necas M, Horazdovsky J, Filipovska O, Machovcova A, Cetkovska P, Arenberger P, Stork J, Dolezal T. </w:t>
      </w:r>
      <w:r>
        <w:rPr>
          <w:rFonts w:ascii="Calibri" w:hAnsi="Calibri" w:eastAsia="Times New Roman" w:cs="Calibri"/>
          <w:i/>
          <w:iCs/>
          <w:color w:val="3a7c22" w:themeColor="accent6" w:themeShade="BF"/>
          <w:lang w:eastAsia="cs-CZ"/>
          <w14:ligatures w14:val="none"/>
        </w:rPr>
        <w:t xml:space="preserve">Secukinumab for the treatment of moderate to-severe psoriasis: Real-world data from the Czech Republic BIOREP Registry with up to 7 years of follow-up.</w:t>
      </w:r>
      <w:r>
        <w:rPr>
          <w:rFonts w:ascii="Calibri" w:hAnsi="Calibri" w:eastAsia="Times New Roman" w:cs="Calibri"/>
          <w:i/>
          <w:iCs/>
          <w:lang w:eastAsia="cs-CZ"/>
          <w14:ligatures w14:val="none"/>
        </w:rPr>
        <w:t xml:space="preserve"> American Academy of Dermatology (AAD), Annual Meeting, Denver, Colorado. March 27-31, 2026, poster number: 73631.</w:t>
      </w:r>
      <w:r>
        <w:rPr>
          <w:rFonts w:ascii="Calibri" w:hAnsi="Calibri" w:eastAsia="Times New Roman" w:cs="Calibri"/>
          <w:i/>
          <w:iCs/>
          <w:lang w:eastAsia="cs-CZ"/>
          <w14:ligatures w14:val="none"/>
        </w:rPr>
      </w:r>
    </w:p>
    <w:p w14:paraId="7F6B4548" w14:textId="74F7BE9A">
      <w:pPr>
        <w:numPr>
          <w:ilvl w:val="0"/>
          <w:numId w:val="1"/>
        </w:numPr>
        <w:pBdr/>
        <w:spacing w:line="240" w:lineRule="auto"/>
        <w:ind/>
        <w:rPr>
          <w:rFonts w:ascii="Calibri" w:hAnsi="Calibri" w:eastAsia="Times New Roman" w:cs="Calibri"/>
          <w:i/>
          <w:iCs/>
          <w:lang w:eastAsia="cs-CZ"/>
          <w14:ligatures w14:val="none"/>
        </w:rPr>
      </w:pPr>
      <w:r>
        <w:rPr>
          <w:rFonts w:ascii="Calibri" w:hAnsi="Calibri" w:eastAsia="Times New Roman" w:cs="Calibri"/>
          <w:i/>
          <w:iCs/>
          <w:lang w:eastAsia="cs-CZ"/>
          <w14:ligatures w14:val="none"/>
        </w:rPr>
        <w:t xml:space="preserve">K</w:t>
      </w:r>
      <w:r>
        <w:rPr>
          <w:rFonts w:ascii="Calibri" w:hAnsi="Calibri" w:eastAsia="Times New Roman" w:cs="Calibri"/>
          <w:i/>
          <w:iCs/>
          <w:lang w:eastAsia="cs-CZ"/>
          <w14:ligatures w14:val="none"/>
        </w:rPr>
        <w:t xml:space="preserve">ojanova M, Fialova J and the </w:t>
      </w:r>
      <w:r>
        <w:rPr>
          <w:rFonts w:ascii="Calibri" w:hAnsi="Calibri" w:eastAsia="Times New Roman" w:cs="Calibri"/>
          <w:i/>
          <w:iCs/>
          <w:u w:val="single"/>
          <w:lang w:eastAsia="cs-CZ"/>
          <w14:ligatures w14:val="none"/>
        </w:rPr>
        <w:t xml:space="preserve">BIOREP study group</w:t>
      </w:r>
      <w:r>
        <w:rPr>
          <w:rFonts w:ascii="Calibri" w:hAnsi="Calibri" w:eastAsia="Times New Roman" w:cs="Calibri"/>
          <w:i/>
          <w:iCs/>
          <w:lang w:eastAsia="cs-CZ"/>
          <w14:ligatures w14:val="none"/>
        </w:rPr>
        <w:t xml:space="preserve">. </w:t>
      </w:r>
      <w:r>
        <w:rPr>
          <w:rFonts w:ascii="Calibri" w:hAnsi="Calibri" w:eastAsia="Times New Roman" w:cs="Calibri"/>
          <w:i/>
          <w:iCs/>
          <w:color w:val="3a7c22" w:themeColor="accent6" w:themeShade="BF"/>
          <w:lang w:eastAsia="cs-CZ"/>
          <w14:ligatures w14:val="none"/>
        </w:rPr>
        <w:t xml:space="preserve">Lebrikizumab for the treatment of severe atopic dermatitis: Real- world data from the Czech Republic BIOREP Registry.</w:t>
      </w:r>
      <w:r>
        <w:rPr>
          <w:rFonts w:ascii="Calibri" w:hAnsi="Calibri" w:eastAsia="Times New Roman" w:cs="Calibri"/>
          <w:i/>
          <w:iCs/>
          <w:lang w:eastAsia="cs-CZ"/>
          <w14:ligatures w14:val="none"/>
        </w:rPr>
        <w:t xml:space="preserve"> 15th Georg RAJKA - ISAD, 2025 Australia, Melbourne, October 24-26, 2025. E-poster number 1084. In: Acta Dermato Venereologica, Volume 105, 2025, Abstract book, p. 1 – 64; P6#1084, p. 37.</w:t>
      </w:r>
      <w:r>
        <w:rPr>
          <w:rFonts w:ascii="Calibri" w:hAnsi="Calibri" w:eastAsia="Times New Roman" w:cs="Calibri"/>
          <w:i/>
          <w:iCs/>
          <w:lang w:eastAsia="cs-CZ"/>
          <w14:ligatures w14:val="none"/>
        </w:rPr>
      </w:r>
    </w:p>
    <w:p w14:paraId="514DD3CA" w14:textId="77777777">
      <w:pPr>
        <w:numPr>
          <w:ilvl w:val="0"/>
          <w:numId w:val="1"/>
        </w:numPr>
        <w:pBdr/>
        <w:shd w:val="clear" w:color="auto" w:fill="ffffff"/>
        <w:spacing w:after="120" w:before="100" w:beforeAutospacing="1" w:line="240" w:lineRule="auto"/>
        <w:ind/>
        <w:rPr>
          <w:rFonts w:ascii="Calibri" w:hAnsi="Calibri" w:eastAsia="Times New Roman" w:cs="Calibri"/>
          <w:b/>
          <w:bCs/>
          <w:lang w:eastAsia="cs-CZ"/>
          <w14:ligatures w14:val="none"/>
        </w:rPr>
      </w:pPr>
      <w:r>
        <w:rPr>
          <w:rFonts w:ascii="Calibri" w:hAnsi="Calibri" w:eastAsia="Times New Roman" w:cs="Calibri"/>
          <w:b/>
          <w:bCs/>
          <w:lang w:eastAsia="cs-CZ"/>
          <w14:ligatures w14:val="none"/>
        </w:rPr>
        <w:t xml:space="preserve">Rob F, Hugo J, Horažďovský J, Vantuchová I, Čelakovská J, Jarešová L, Policarová M, Šternberský J, Kojanová M, Cetkovská P, Thomová T, Sokolová K, Finsterle J, Janatová H, Tomaško L, Čáková L, Tichý M, Cetkovský P, Nováková M. </w:t>
      </w:r>
      <w:r>
        <w:rPr>
          <w:rFonts w:ascii="Calibri" w:hAnsi="Calibri" w:eastAsia="Times New Roman" w:cs="Calibri"/>
          <w:b/>
          <w:bCs/>
          <w:color w:val="3a7c22" w:themeColor="accent6" w:themeShade="BF"/>
          <w:lang w:eastAsia="cs-CZ"/>
          <w14:ligatures w14:val="none"/>
        </w:rPr>
        <w:t xml:space="preserve">Effectiveness and Safety of JAK Inhibitors in Patients With Atopic Dermatitis Unresponsive Versus Naïve to Dupilumab: A Multicentric Real-World Retrospective Study.</w:t>
      </w:r>
      <w:r>
        <w:rPr>
          <w:rFonts w:ascii="Calibri" w:hAnsi="Calibri" w:eastAsia="Times New Roman" w:cs="Calibri"/>
          <w:b/>
          <w:bCs/>
          <w:lang w:eastAsia="cs-CZ"/>
          <w14:ligatures w14:val="none"/>
        </w:rPr>
        <w:t xml:space="preserve"> Dermatologic Therapy. Article 2025. DOI: 10.1155/dth/5548750.</w:t>
      </w:r>
      <w:r>
        <w:rPr>
          <w:rFonts w:ascii="Calibri" w:hAnsi="Calibri" w:eastAsia="Times New Roman" w:cs="Calibri"/>
          <w:b/>
          <w:bCs/>
          <w:lang w:eastAsia="cs-CZ"/>
          <w14:ligatures w14:val="none"/>
        </w:rPr>
      </w:r>
    </w:p>
    <w:p w14:paraId="3B19B672" w14:textId="77777777">
      <w:pPr>
        <w:pStyle w:val="758"/>
        <w:numPr>
          <w:ilvl w:val="0"/>
          <w:numId w:val="1"/>
        </w:numPr>
        <w:pBdr/>
        <w:spacing/>
        <w:ind/>
        <w:rPr>
          <w:rFonts w:ascii="Calibri" w:hAnsi="Calibri" w:eastAsia="Times New Roman" w:cs="Calibri"/>
          <w:b/>
          <w:bCs/>
          <w:lang w:eastAsia="cs-CZ"/>
          <w14:ligatures w14:val="none"/>
        </w:rPr>
      </w:pPr>
      <w:r>
        <w:rPr>
          <w:rFonts w:ascii="Calibri" w:hAnsi="Calibri" w:eastAsia="Times New Roman" w:cs="Calibri"/>
          <w:b/>
          <w:bCs/>
          <w:lang w:eastAsia="cs-CZ"/>
          <w14:ligatures w14:val="none"/>
        </w:rPr>
        <w:t xml:space="preserve">Rob F, Gkalpakiotis S, Kojanová M, Vantuchová Y, Čelakovská J, Horažďovský J, Baláž M, Nečas M, Stuchlík D, Cetkovská P, Hrazdírová K, Machovcová A, Pinková B, Třešňák Hercogová J. </w:t>
      </w:r>
      <w:r>
        <w:rPr>
          <w:rFonts w:ascii="Calibri" w:hAnsi="Calibri" w:eastAsia="Times New Roman" w:cs="Calibri"/>
          <w:b/>
          <w:bCs/>
          <w:color w:val="3a7c22" w:themeColor="accent6" w:themeShade="BF"/>
          <w:lang w:eastAsia="cs-CZ"/>
          <w14:ligatures w14:val="none"/>
        </w:rPr>
        <w:t xml:space="preserve">Efficacy and safety of lebrikizumab in atopic dermatitis over 24 weeks: An analysis from the BIOREP registry.</w:t>
      </w:r>
      <w:r>
        <w:rPr>
          <w:rFonts w:ascii="Calibri" w:hAnsi="Calibri" w:eastAsia="Times New Roman" w:cs="Calibri"/>
          <w:b/>
          <w:bCs/>
          <w:lang w:eastAsia="cs-CZ"/>
          <w14:ligatures w14:val="none"/>
        </w:rPr>
        <w:t xml:space="preserve"> J Eur Acad Dermatol Venereol. 2025 </w:t>
      </w:r>
      <w:r>
        <w:rPr>
          <w:rFonts w:ascii="Calibri" w:hAnsi="Calibri" w:eastAsia="Times New Roman" w:cs="Calibri"/>
          <w:b/>
          <w:bCs/>
          <w:lang w:eastAsia="cs-CZ"/>
          <w14:ligatures w14:val="none"/>
        </w:rPr>
        <w:t xml:space="preserve">Dec;39(12):e1056-e1059. doi: 10.1111/jdv.70009. Epub 2025 Aug 13.</w:t>
      </w:r>
      <w:r>
        <w:rPr>
          <w:rFonts w:ascii="Calibri" w:hAnsi="Calibri" w:eastAsia="Times New Roman" w:cs="Calibri"/>
          <w:b/>
          <w:bCs/>
          <w:lang w:eastAsia="cs-CZ"/>
          <w14:ligatures w14:val="none"/>
        </w:rPr>
      </w:r>
    </w:p>
    <w:p w14:paraId="1ACAACE5" w14:textId="77777777">
      <w:pPr>
        <w:numPr>
          <w:ilvl w:val="0"/>
          <w:numId w:val="1"/>
        </w:numPr>
        <w:pBdr/>
        <w:shd w:val="clear" w:color="auto" w:fill="ffffff"/>
        <w:spacing w:after="120" w:before="100" w:beforeAutospacing="1" w:line="240" w:lineRule="auto"/>
        <w:ind/>
        <w:rPr>
          <w:rFonts w:ascii="Calibri" w:hAnsi="Calibri" w:eastAsia="Times New Roman" w:cs="Calibri"/>
          <w:b/>
          <w:bCs/>
          <w:lang w:eastAsia="cs-CZ"/>
          <w14:ligatures w14:val="none"/>
        </w:rPr>
      </w:pPr>
      <w:r>
        <w:rPr>
          <w:rFonts w:ascii="Calibri" w:hAnsi="Calibri" w:eastAsia="Times New Roman" w:cs="Calibri"/>
          <w:b/>
          <w:bCs/>
          <w:lang w:eastAsia="cs-CZ"/>
          <w14:ligatures w14:val="none"/>
        </w:rPr>
        <w:t xml:space="preserve">Fialová J, Kojanová M, Šáhó R, Magner M. </w:t>
      </w:r>
      <w:r>
        <w:rPr>
          <w:rFonts w:ascii="Calibri" w:hAnsi="Calibri" w:eastAsia="Times New Roman" w:cs="Calibri"/>
          <w:b/>
          <w:bCs/>
          <w:color w:val="3a7c22" w:themeColor="accent6" w:themeShade="BF"/>
          <w:lang w:eastAsia="cs-CZ"/>
          <w14:ligatures w14:val="none"/>
        </w:rPr>
        <w:t xml:space="preserve">Mucopolysaccharidosis type IVA and severe hidradenitis suppurativa: A case series.</w:t>
      </w:r>
      <w:r>
        <w:rPr>
          <w:rFonts w:ascii="Calibri" w:hAnsi="Calibri" w:eastAsia="Times New Roman" w:cs="Calibri"/>
          <w:b/>
          <w:bCs/>
          <w:lang w:eastAsia="cs-CZ"/>
          <w14:ligatures w14:val="none"/>
        </w:rPr>
        <w:t xml:space="preserve"> JAAD Case Rep. 2025 Jun 10;62:146-150. doi: 10.1016/j.jdcr.2025.04.043. PMID: 40778338; PMCID: PMC12329501.</w:t>
      </w:r>
      <w:r>
        <w:rPr>
          <w:rFonts w:ascii="Calibri" w:hAnsi="Calibri" w:eastAsia="Times New Roman" w:cs="Calibri"/>
          <w:b/>
          <w:bCs/>
          <w:lang w:eastAsia="cs-CZ"/>
          <w14:ligatures w14:val="none"/>
        </w:rPr>
      </w:r>
    </w:p>
    <w:p w14:paraId="6C5793B2" w14:textId="77777777">
      <w:pPr>
        <w:numPr>
          <w:ilvl w:val="0"/>
          <w:numId w:val="1"/>
        </w:numPr>
        <w:pBdr/>
        <w:shd w:val="clear" w:color="auto" w:fill="ffffff"/>
        <w:spacing w:after="120" w:before="100" w:beforeAutospacing="1" w:line="240" w:lineRule="auto"/>
        <w:ind/>
        <w:rPr>
          <w:rFonts w:ascii="Calibri" w:hAnsi="Calibri" w:eastAsia="Times New Roman" w:cs="Calibri"/>
          <w:i/>
          <w:iCs/>
          <w:lang w:eastAsia="cs-CZ"/>
          <w14:ligatures w14:val="none"/>
        </w:rPr>
      </w:pPr>
      <w:r>
        <w:rPr>
          <w:rFonts w:ascii="Calibri" w:hAnsi="Calibri" w:eastAsia="Times New Roman" w:cs="Calibri"/>
          <w:i/>
          <w:iCs/>
          <w:lang w:eastAsia="cs-CZ"/>
          <w14:ligatures w14:val="none"/>
        </w:rPr>
        <w:t xml:space="preserve">Kojanova M, Fialova J, Cetkovska P, Gkalpakiotis S, Machovcova A, Arenberger P, Stork J, Dolezal T, Turkova B, and the </w:t>
      </w:r>
      <w:r>
        <w:rPr>
          <w:rFonts w:ascii="Calibri" w:hAnsi="Calibri" w:eastAsia="Times New Roman" w:cs="Calibri"/>
          <w:i/>
          <w:iCs/>
          <w:u w:val="single"/>
          <w:lang w:eastAsia="cs-CZ"/>
          <w14:ligatures w14:val="none"/>
        </w:rPr>
        <w:t xml:space="preserve">BIOREP study group</w:t>
      </w:r>
      <w:r>
        <w:rPr>
          <w:rFonts w:ascii="Calibri" w:hAnsi="Calibri" w:eastAsia="Times New Roman" w:cs="Calibri"/>
          <w:i/>
          <w:iCs/>
          <w:lang w:eastAsia="cs-CZ"/>
          <w14:ligatures w14:val="none"/>
        </w:rPr>
        <w:t xml:space="preserve">. </w:t>
      </w:r>
      <w:r>
        <w:rPr>
          <w:rFonts w:ascii="Calibri" w:hAnsi="Calibri" w:eastAsia="Times New Roman" w:cs="Calibri"/>
          <w:i/>
          <w:iCs/>
          <w:color w:val="3a7c22" w:themeColor="accent6" w:themeShade="BF"/>
          <w:lang w:eastAsia="cs-CZ"/>
          <w14:ligatures w14:val="none"/>
        </w:rPr>
        <w:t xml:space="preserve">Bimekizumab for the treatment of moderate-to-severe psoriasis: Real-world data from the Czech Republic BIOREP Registry. </w:t>
      </w:r>
      <w:r>
        <w:rPr>
          <w:rFonts w:ascii="Calibri" w:hAnsi="Calibri" w:eastAsia="Times New Roman" w:cs="Calibri"/>
          <w:i/>
          <w:iCs/>
          <w:lang w:eastAsia="cs-CZ"/>
          <w14:ligatures w14:val="none"/>
        </w:rPr>
        <w:t xml:space="preserve">EADV Symposium Prague, 2025, May 22-24, Abstract ID 419, E-poster number P1057 </w:t>
      </w:r>
      <w:r>
        <w:rPr>
          <w:rFonts w:ascii="Calibri" w:hAnsi="Calibri" w:eastAsia="Times New Roman" w:cs="Calibri"/>
          <w:i/>
          <w:iCs/>
          <w:lang w:eastAsia="cs-CZ"/>
          <w14:ligatures w14:val="none"/>
        </w:rPr>
      </w:r>
    </w:p>
    <w:p w14:paraId="76CA10F1" w14:textId="77777777">
      <w:pPr>
        <w:numPr>
          <w:ilvl w:val="0"/>
          <w:numId w:val="1"/>
        </w:numPr>
        <w:pBdr/>
        <w:shd w:val="clear" w:color="auto" w:fill="ffffff"/>
        <w:spacing w:after="120" w:beforeAutospacing="1" w:line="240" w:lineRule="auto"/>
        <w:ind/>
        <w:rPr>
          <w:rFonts w:ascii="Calibri" w:hAnsi="Calibri" w:eastAsia="Times New Roman" w:cs="Calibri"/>
          <w:b/>
          <w:bCs/>
          <w:lang w:eastAsia="cs-CZ"/>
          <w14:ligatures w14:val="none"/>
        </w:rPr>
      </w:pPr>
      <w:r>
        <w:rPr>
          <w:rFonts w:ascii="Calibri" w:hAnsi="Calibri" w:eastAsia="Times New Roman" w:cs="Calibri"/>
          <w:b/>
          <w:bCs/>
          <w:lang w:eastAsia="cs-CZ"/>
          <w14:ligatures w14:val="none"/>
        </w:rPr>
        <w:t xml:space="preserve">Sobotkova T, Hugo J, Salavec M, Kojanova M, Tichy M, Necas M, Machovcova A, Cetkovsky M, Kysilka Z, Tivadar S, Vachatova S, Kunesova N, Balaz M, Prikrylova P, Rob F. </w:t>
      </w:r>
      <w:r>
        <w:rPr>
          <w:rFonts w:ascii="Calibri" w:hAnsi="Calibri" w:eastAsia="Times New Roman" w:cs="Calibri"/>
          <w:b/>
          <w:bCs/>
          <w:color w:val="3a7c22" w:themeColor="accent6" w:themeShade="BF"/>
          <w:lang w:eastAsia="cs-CZ"/>
          <w14:ligatures w14:val="none"/>
        </w:rPr>
        <w:t xml:space="preserve">Efficacy, Safety, and Drug Survival During the First Year of Biologic Therapy for Psoriasis in Elderly Versus Younger Patients. </w:t>
      </w:r>
      <w:r>
        <w:rPr>
          <w:rFonts w:ascii="Calibri" w:hAnsi="Calibri" w:eastAsia="Times New Roman" w:cs="Calibri"/>
          <w:b/>
          <w:bCs/>
          <w:lang w:eastAsia="cs-CZ"/>
          <w14:ligatures w14:val="none"/>
        </w:rPr>
        <w:t xml:space="preserve">Int J Dermatol. 2025 Apr 24. doi: 10.1111/ijd.17814. Epub ahead of print. </w:t>
      </w:r>
      <w:r>
        <w:rPr>
          <w:rFonts w:ascii="Calibri" w:hAnsi="Calibri" w:eastAsia="Times New Roman" w:cs="Calibri"/>
          <w:b/>
          <w:bCs/>
          <w:lang w:eastAsia="cs-CZ"/>
          <w14:ligatures w14:val="none"/>
        </w:rPr>
      </w:r>
    </w:p>
    <w:p w14:paraId="40F8E25D" w14:textId="77777777">
      <w:pPr>
        <w:numPr>
          <w:ilvl w:val="0"/>
          <w:numId w:val="1"/>
        </w:numPr>
        <w:pBdr/>
        <w:shd w:val="clear" w:color="auto" w:fill="ffffff"/>
        <w:spacing w:after="120" w:beforeAutospacing="1" w:line="240" w:lineRule="auto"/>
        <w:ind/>
        <w:rPr>
          <w:rFonts w:ascii="Calibri" w:hAnsi="Calibri" w:eastAsia="Calibri" w:cs="Calibri"/>
          <w:i/>
          <w:iCs/>
        </w:rPr>
      </w:pPr>
      <w:r>
        <w:rPr>
          <w:rFonts w:ascii="Calibri" w:hAnsi="Calibri" w:eastAsia="Times New Roman" w:cs="Calibri"/>
          <w:lang w:eastAsia="cs-CZ"/>
          <w14:ligatures w14:val="none"/>
        </w:rPr>
        <w:t xml:space="preserve">M. Kojanová, J. Fialová, P. Cetkovská, S. Gkalpakiotis, A. Machovcová, J. Štork, P. Arenberger, T. Doležal, B. Turková, </w:t>
      </w:r>
      <w:r>
        <w:rPr>
          <w:rFonts w:ascii="Calibri" w:hAnsi="Calibri" w:eastAsia="Times New Roman" w:cs="Calibri"/>
          <w:u w:val="single"/>
          <w:lang w:eastAsia="cs-CZ"/>
          <w14:ligatures w14:val="none"/>
        </w:rPr>
        <w:t xml:space="preserve">Biorep Skupina</w:t>
      </w:r>
      <w:r>
        <w:rPr>
          <w:rFonts w:ascii="Calibri" w:hAnsi="Calibri" w:eastAsia="Times New Roman" w:cs="Calibri"/>
          <w:lang w:eastAsia="cs-CZ"/>
          <w14:ligatures w14:val="none"/>
        </w:rPr>
        <w:t xml:space="preserve">. </w:t>
      </w:r>
      <w:r>
        <w:rPr>
          <w:rFonts w:ascii="Calibri" w:hAnsi="Calibri" w:eastAsia="Times New Roman" w:cs="Calibri"/>
          <w:color w:val="3a7c22" w:themeColor="accent6" w:themeShade="BF"/>
          <w:lang w:eastAsia="cs-CZ"/>
          <w14:ligatures w14:val="none"/>
        </w:rPr>
        <w:t xml:space="preserve">Registr biologické/cílené léčby BIOREP – Souhrnná zpráva za rok 2024. </w:t>
      </w:r>
      <w:r>
        <w:rPr>
          <w:rFonts w:ascii="Calibri" w:hAnsi="Calibri" w:eastAsia="Times New Roman" w:cs="Calibri"/>
          <w:lang w:eastAsia="cs-CZ"/>
          <w14:ligatures w14:val="none"/>
        </w:rPr>
        <w:t xml:space="preserve">Čes-slov Derm, 100, 2025, No. 1, p. 13-40.</w:t>
      </w:r>
      <w:r>
        <w:rPr>
          <w:rFonts w:ascii="Calibri" w:hAnsi="Calibri" w:eastAsia="Calibri" w:cs="Calibri"/>
          <w:i/>
          <w:iCs/>
        </w:rPr>
      </w:r>
    </w:p>
    <w:p w14:paraId="3019ECFA" w14:textId="65673630">
      <w:pPr>
        <w:numPr>
          <w:ilvl w:val="0"/>
          <w:numId w:val="1"/>
        </w:numPr>
        <w:pBdr/>
        <w:shd w:val="clear" w:color="auto" w:fill="ffffff"/>
        <w:spacing w:after="120" w:beforeAutospacing="1" w:line="240" w:lineRule="auto"/>
        <w:ind/>
        <w:rPr>
          <w:rFonts w:ascii="Calibri" w:hAnsi="Calibri" w:eastAsia="Calibri" w:cs="Calibri"/>
          <w:i/>
          <w:iCs/>
        </w:rPr>
      </w:pPr>
      <w:r>
        <w:rPr>
          <w:rFonts w:ascii="Calibri" w:hAnsi="Calibri" w:eastAsia="Times New Roman" w:cs="Calibri"/>
          <w:i/>
          <w:iCs/>
          <w:lang w:eastAsia="cs-CZ"/>
          <w14:ligatures w14:val="none"/>
        </w:rPr>
        <w:t xml:space="preserve">Kojanova M, </w:t>
      </w:r>
      <w:r>
        <w:rPr>
          <w:rFonts w:ascii="Calibri" w:hAnsi="Calibri" w:eastAsia="Times New Roman" w:cs="Calibri"/>
          <w:i/>
          <w:iCs/>
          <w:lang w:eastAsia="cs-CZ"/>
          <w14:ligatures w14:val="none"/>
        </w:rPr>
        <w:t xml:space="preserve">Turkova B, </w:t>
      </w:r>
      <w:r>
        <w:rPr>
          <w:rFonts w:ascii="Calibri" w:hAnsi="Calibri" w:eastAsia="Times New Roman" w:cs="Calibri"/>
          <w:i/>
          <w:iCs/>
          <w:lang w:eastAsia="cs-CZ"/>
          <w14:ligatures w14:val="none"/>
        </w:rPr>
        <w:t xml:space="preserve">Fialova J, </w:t>
      </w:r>
      <w:r>
        <w:rPr>
          <w:rFonts w:ascii="Calibri" w:hAnsi="Calibri" w:eastAsia="Times New Roman" w:cs="Calibri"/>
          <w:i/>
          <w:iCs/>
          <w:lang w:eastAsia="cs-CZ"/>
          <w14:ligatures w14:val="none"/>
        </w:rPr>
        <w:t xml:space="preserve">Cetkovska P, </w:t>
      </w:r>
      <w:r>
        <w:rPr>
          <w:rFonts w:ascii="Calibri" w:hAnsi="Calibri" w:eastAsia="Times New Roman" w:cs="Calibri"/>
          <w:i/>
          <w:iCs/>
          <w:lang w:eastAsia="cs-CZ"/>
          <w14:ligatures w14:val="none"/>
        </w:rPr>
        <w:t xml:space="preserve">Gkalpakiotis S, Machovcova A, Arenberger P</w:t>
      </w:r>
      <w:r>
        <w:rPr>
          <w:rFonts w:ascii="Calibri" w:hAnsi="Calibri" w:eastAsia="Times New Roman" w:cs="Calibri"/>
          <w:i/>
          <w:iCs/>
          <w:lang w:eastAsia="cs-CZ"/>
          <w14:ligatures w14:val="none"/>
        </w:rPr>
        <w:t xml:space="preserve">, </w:t>
      </w:r>
      <w:r>
        <w:rPr>
          <w:rFonts w:ascii="Calibri" w:hAnsi="Calibri" w:eastAsia="Times New Roman" w:cs="Calibri"/>
          <w:i/>
          <w:iCs/>
          <w:lang w:eastAsia="cs-CZ"/>
          <w14:ligatures w14:val="none"/>
        </w:rPr>
        <w:t xml:space="preserve">Stork J</w:t>
      </w:r>
      <w:r>
        <w:rPr>
          <w:rFonts w:ascii="Calibri" w:hAnsi="Calibri" w:eastAsia="Times New Roman" w:cs="Calibri"/>
          <w:i/>
          <w:iCs/>
          <w:lang w:eastAsia="cs-CZ"/>
          <w14:ligatures w14:val="none"/>
        </w:rPr>
        <w:t xml:space="preserve">, Kunesova N, Cetkovsky M, Kicko P andthe BIOREP study group. </w:t>
      </w:r>
      <w:r>
        <w:rPr>
          <w:rFonts w:ascii="Calibri" w:hAnsi="Calibri" w:eastAsia="Times New Roman" w:cs="Calibri"/>
          <w:i/>
          <w:iCs/>
          <w:color w:val="3a7c22" w:themeColor="accent6" w:themeShade="BF"/>
          <w:lang w:eastAsia="cs-CZ"/>
          <w14:ligatures w14:val="none"/>
        </w:rPr>
        <w:t xml:space="preserve">Efficacy and survival probability of patients with psoriasis treated with IL-17 i</w:t>
      </w:r>
      <w:r>
        <w:rPr>
          <w:rFonts w:ascii="Calibri" w:hAnsi="Calibri" w:eastAsia="Times New Roman" w:cs="Calibri"/>
          <w:i/>
          <w:iCs/>
          <w:color w:val="3a7c22" w:themeColor="accent6" w:themeShade="BF"/>
          <w:lang w:eastAsia="cs-CZ"/>
          <w14:ligatures w14:val="none"/>
        </w:rPr>
        <w:t xml:space="preserve">nhibitors </w:t>
      </w:r>
      <w:r>
        <w:rPr>
          <w:rFonts w:ascii="Calibri" w:hAnsi="Calibri" w:eastAsia="Times New Roman" w:cs="Calibri"/>
          <w:i/>
          <w:iCs/>
          <w:color w:val="3a7c22" w:themeColor="accent6" w:themeShade="BF"/>
          <w:lang w:eastAsia="cs-CZ"/>
          <w14:ligatures w14:val="none"/>
        </w:rPr>
        <w:t xml:space="preserve">– bimekizumab, brodalumab, ixekizumab, and secukinumab: </w:t>
      </w:r>
      <w:r>
        <w:rPr>
          <w:rFonts w:ascii="Calibri" w:hAnsi="Calibri" w:eastAsia="Times New Roman" w:cs="Calibri"/>
          <w:i/>
          <w:iCs/>
          <w:color w:val="3a7c22" w:themeColor="accent6" w:themeShade="BF"/>
          <w:lang w:eastAsia="cs-CZ"/>
          <w14:ligatures w14:val="none"/>
        </w:rPr>
        <w:t xml:space="preserve">Real- world data from the Czech Republic BIOREP Registry.</w:t>
      </w:r>
      <w:r>
        <w:rPr>
          <w:rFonts w:ascii="Calibri" w:hAnsi="Calibri" w:eastAsia="Times New Roman" w:cs="Calibri"/>
          <w:i/>
          <w:iCs/>
          <w:color w:val="3a7c22" w:themeColor="accent6" w:themeShade="BF"/>
          <w:lang w:eastAsia="cs-CZ"/>
          <w14:ligatures w14:val="none"/>
        </w:rPr>
        <w:t xml:space="preserve"> </w:t>
      </w:r>
      <w:r>
        <w:rPr>
          <w:rFonts w:ascii="Calibri" w:hAnsi="Calibri" w:eastAsia="Times New Roman" w:cs="Calibri"/>
          <w:i/>
          <w:iCs/>
          <w:lang w:eastAsia="cs-CZ"/>
          <w14:ligatures w14:val="none"/>
        </w:rPr>
        <w:t xml:space="preserve">2025 EADV Congress, Paris, abstract number 3236, e-poster number P2116.</w:t>
      </w:r>
      <w:r>
        <w:rPr>
          <w:rFonts w:ascii="Calibri" w:hAnsi="Calibri" w:eastAsia="Calibri" w:cs="Calibri"/>
          <w:i/>
          <w:iCs/>
        </w:rPr>
      </w:r>
    </w:p>
    <w:p w14:paraId="2710EA85" w14:textId="6E50E2CE">
      <w:pPr>
        <w:numPr>
          <w:ilvl w:val="0"/>
          <w:numId w:val="1"/>
        </w:numPr>
        <w:pBdr/>
        <w:shd w:val="clear" w:color="auto" w:fill="ffffff"/>
        <w:spacing w:after="120" w:beforeAutospacing="1" w:line="240" w:lineRule="auto"/>
        <w:ind/>
        <w:rPr>
          <w:rFonts w:ascii="Calibri" w:hAnsi="Calibri" w:eastAsia="Calibri" w:cs="Calibri"/>
          <w:i/>
          <w:iCs/>
        </w:rPr>
      </w:pPr>
      <w:r>
        <w:rPr>
          <w:rFonts w:ascii="Calibri" w:hAnsi="Calibri" w:eastAsia="Times New Roman" w:cs="Calibri"/>
          <w:i/>
          <w:iCs/>
          <w:lang w:eastAsia="cs-CZ"/>
          <w14:ligatures w14:val="none"/>
        </w:rPr>
        <w:t xml:space="preserve">Kojanova M, Fialova J, Gkalpakiotis S, Cetkovska P, Machovcova A, Arenberger P and the </w:t>
      </w:r>
      <w:r>
        <w:rPr>
          <w:rFonts w:ascii="Calibri" w:hAnsi="Calibri" w:eastAsia="Times New Roman" w:cs="Calibri"/>
          <w:i/>
          <w:iCs/>
          <w:u w:val="single"/>
          <w:lang w:eastAsia="cs-CZ"/>
          <w14:ligatures w14:val="none"/>
        </w:rPr>
        <w:t xml:space="preserve">BIOREP study group</w:t>
      </w:r>
      <w:r>
        <w:rPr>
          <w:rFonts w:ascii="Calibri" w:hAnsi="Calibri" w:eastAsia="Times New Roman" w:cs="Calibri"/>
          <w:i/>
          <w:iCs/>
          <w:lang w:eastAsia="cs-CZ"/>
          <w14:ligatures w14:val="none"/>
        </w:rPr>
        <w:t xml:space="preserve">. </w:t>
      </w:r>
      <w:r>
        <w:rPr>
          <w:rFonts w:ascii="Calibri" w:hAnsi="Calibri" w:eastAsia="Times New Roman" w:cs="Calibri"/>
          <w:i/>
          <w:iCs/>
          <w:color w:val="3a7c22" w:themeColor="accent6" w:themeShade="BF"/>
          <w:lang w:eastAsia="cs-CZ"/>
          <w14:ligatures w14:val="none"/>
        </w:rPr>
        <w:t xml:space="preserve">Janus Kinase inhibitors for the treatment of severe atopic dermatitis: Real- world data from the Czech Republic BIOREP Registry. </w:t>
      </w:r>
      <w:r>
        <w:rPr>
          <w:rFonts w:ascii="Calibri" w:hAnsi="Calibri" w:eastAsia="Times New Roman" w:cs="Calibri"/>
          <w:i/>
          <w:iCs/>
          <w:lang w:val="en-US"/>
        </w:rPr>
        <w:t xml:space="preserve">Annual Meeting of the American Academy of Dermatology</w:t>
      </w:r>
      <w:r>
        <w:rPr>
          <w:rFonts w:ascii="Calibri" w:hAnsi="Calibri" w:eastAsia="Times New Roman" w:cs="Calibri"/>
          <w:i/>
          <w:iCs/>
        </w:rPr>
        <w:t xml:space="preserve">, </w:t>
      </w:r>
      <w:r>
        <w:rPr>
          <w:rFonts w:ascii="Calibri" w:hAnsi="Calibri" w:eastAsia="Times New Roman" w:cs="Calibri"/>
          <w:i/>
          <w:iCs/>
          <w:lang w:val="en-US"/>
        </w:rPr>
        <w:t xml:space="preserve">2025, March 7-11</w:t>
      </w:r>
      <w:r>
        <w:rPr>
          <w:rFonts w:ascii="Calibri" w:hAnsi="Calibri" w:eastAsia="Times New Roman" w:cs="Calibri"/>
          <w:i/>
          <w:iCs/>
        </w:rPr>
        <w:t xml:space="preserve">, Orlando, Florida, U</w:t>
      </w:r>
      <w:r>
        <w:rPr>
          <w:rFonts w:ascii="Calibri" w:hAnsi="Calibri" w:eastAsia="Times New Roman" w:cs="Calibri"/>
          <w:i/>
          <w:iCs/>
          <w:lang w:val="en-US"/>
        </w:rPr>
        <w:t xml:space="preserve">SA</w:t>
      </w:r>
      <w:r>
        <w:rPr>
          <w:rFonts w:ascii="Calibri" w:hAnsi="Calibri" w:eastAsia="Times New Roman" w:cs="Calibri"/>
          <w:i/>
          <w:iCs/>
        </w:rPr>
        <w:t xml:space="preserve">, E-poster number 61495</w:t>
      </w:r>
      <w:r>
        <w:rPr>
          <w:rFonts w:ascii="Calibri" w:hAnsi="Calibri" w:eastAsia="Calibri" w:cs="Calibri"/>
          <w:i/>
          <w:iCs/>
        </w:rPr>
      </w:r>
    </w:p>
    <w:p w14:paraId="4F01B6E6" w14:textId="77777777">
      <w:pPr>
        <w:numPr>
          <w:ilvl w:val="0"/>
          <w:numId w:val="1"/>
        </w:numPr>
        <w:pBdr/>
        <w:shd w:val="clear" w:color="auto" w:fill="ffffff"/>
        <w:spacing w:after="120" w:beforeAutospacing="1" w:line="240" w:lineRule="auto"/>
        <w:ind/>
        <w:rPr>
          <w:rFonts w:ascii="Calibri" w:hAnsi="Calibri" w:eastAsia="Times New Roman" w:cs="Calibri"/>
          <w:lang w:eastAsia="cs-CZ"/>
          <w14:ligatures w14:val="none"/>
        </w:rPr>
      </w:pPr>
      <w:r>
        <w:rPr>
          <w:rFonts w:ascii="Calibri" w:hAnsi="Calibri" w:eastAsia="Times New Roman" w:cs="Calibri"/>
          <w:lang w:eastAsia="cs-CZ"/>
          <w14:ligatures w14:val="none"/>
        </w:rPr>
        <w:t xml:space="preserve">M. Kojanová, J. Fialová, P. Cetkovská, S. Gkalpakiotis, A. Machovcová, J. Štork, P. Arenberger, T. Doležal, B. Turková, </w:t>
      </w:r>
      <w:r>
        <w:rPr>
          <w:rFonts w:ascii="Calibri" w:hAnsi="Calibri" w:eastAsia="Times New Roman" w:cs="Calibri"/>
          <w:u w:val="single"/>
          <w:lang w:eastAsia="cs-CZ"/>
          <w14:ligatures w14:val="none"/>
        </w:rPr>
        <w:t xml:space="preserve">Biorep Skupina</w:t>
      </w:r>
      <w:r>
        <w:rPr>
          <w:rFonts w:ascii="Calibri" w:hAnsi="Calibri" w:eastAsia="Times New Roman" w:cs="Calibri"/>
          <w:lang w:eastAsia="cs-CZ"/>
          <w14:ligatures w14:val="none"/>
        </w:rPr>
        <w:t xml:space="preserve">. </w:t>
      </w:r>
      <w:r>
        <w:rPr>
          <w:rFonts w:ascii="Calibri" w:hAnsi="Calibri" w:eastAsia="Times New Roman" w:cs="Calibri"/>
          <w:color w:val="3a7c22" w:themeColor="accent6" w:themeShade="BF"/>
          <w:lang w:eastAsia="cs-CZ"/>
          <w14:ligatures w14:val="none"/>
        </w:rPr>
        <w:t xml:space="preserve">Registr biologické/cílené léčby BIOREP – Souhrnná zpráva za rok 2023.</w:t>
      </w:r>
      <w:r>
        <w:rPr>
          <w:rFonts w:ascii="Calibri" w:hAnsi="Calibri" w:eastAsia="Times New Roman" w:cs="Calibri"/>
          <w:lang w:eastAsia="cs-CZ"/>
          <w14:ligatures w14:val="none"/>
        </w:rPr>
        <w:t xml:space="preserve"> Čes-slov Derm, 99, 2024, No. 2, p. 45–112. </w:t>
      </w:r>
      <w:r>
        <w:rPr>
          <w:rFonts w:ascii="Calibri" w:hAnsi="Calibri" w:eastAsia="Times New Roman" w:cs="Calibri"/>
          <w:lang w:eastAsia="cs-CZ"/>
          <w14:ligatures w14:val="none"/>
        </w:rPr>
      </w:r>
    </w:p>
    <w:p w14:paraId="0FD27371" w14:textId="77777777">
      <w:pPr>
        <w:numPr>
          <w:ilvl w:val="0"/>
          <w:numId w:val="1"/>
        </w:numPr>
        <w:pBdr/>
        <w:shd w:val="clear" w:color="auto" w:fill="ffffff"/>
        <w:spacing w:after="120" w:before="100" w:beforeAutospacing="1" w:line="240" w:lineRule="auto"/>
        <w:ind/>
        <w:rPr>
          <w:rFonts w:ascii="Calibri" w:hAnsi="Calibri" w:eastAsia="Times New Roman" w:cs="Calibri"/>
          <w:i/>
          <w:iCs/>
          <w:lang w:eastAsia="cs-CZ"/>
          <w14:ligatures w14:val="none"/>
        </w:rPr>
      </w:pPr>
      <w:r>
        <w:rPr>
          <w:rFonts w:ascii="Calibri" w:hAnsi="Calibri" w:eastAsia="Times New Roman" w:cs="Calibri"/>
          <w:i/>
          <w:iCs/>
          <w:lang w:eastAsia="cs-CZ"/>
          <w14:ligatures w14:val="none"/>
        </w:rPr>
        <w:t xml:space="preserve">Kojanova M, Fialova J, Cetkovska P, Gkalpakiotis S, Machovcova A, Arenberger P, Stork J, Dolezal T, Pejrilova D, and the </w:t>
      </w:r>
      <w:r>
        <w:rPr>
          <w:rFonts w:ascii="Calibri" w:hAnsi="Calibri" w:eastAsia="Times New Roman" w:cs="Calibri"/>
          <w:i/>
          <w:iCs/>
          <w:u w:val="single"/>
          <w:lang w:eastAsia="cs-CZ"/>
          <w14:ligatures w14:val="none"/>
        </w:rPr>
        <w:t xml:space="preserve">BIOREP study group</w:t>
      </w:r>
      <w:r>
        <w:rPr>
          <w:rFonts w:ascii="Calibri" w:hAnsi="Calibri" w:eastAsia="Times New Roman" w:cs="Calibri"/>
          <w:i/>
          <w:iCs/>
          <w:lang w:eastAsia="cs-CZ"/>
          <w14:ligatures w14:val="none"/>
        </w:rPr>
        <w:t xml:space="preserve">. </w:t>
      </w:r>
      <w:r>
        <w:rPr>
          <w:rFonts w:ascii="Calibri" w:hAnsi="Calibri" w:eastAsia="Times New Roman" w:cs="Calibri"/>
          <w:i/>
          <w:iCs/>
          <w:color w:val="3a7c22" w:themeColor="accent6" w:themeShade="BF"/>
          <w:lang w:eastAsia="cs-CZ"/>
          <w14:ligatures w14:val="none"/>
        </w:rPr>
        <w:t xml:space="preserve">Super-response to guselkumab treatment in patients with moderate-to-severe psoriasis in real world practice. </w:t>
      </w:r>
      <w:r>
        <w:rPr>
          <w:rFonts w:ascii="Calibri" w:hAnsi="Calibri" w:eastAsia="Times New Roman" w:cs="Calibri"/>
          <w:i/>
          <w:iCs/>
          <w:lang w:eastAsia="cs-CZ"/>
          <w14:ligatures w14:val="none"/>
        </w:rPr>
        <w:t xml:space="preserve">EADV Symposium 2024, St. Julian's, Malta 16 - 18 May. Abstract ID: 280, E-poster number: P812</w:t>
      </w:r>
      <w:r>
        <w:rPr>
          <w:rFonts w:ascii="Calibri" w:hAnsi="Calibri" w:eastAsia="Times New Roman" w:cs="Calibri"/>
          <w:i/>
          <w:iCs/>
          <w:lang w:eastAsia="cs-CZ"/>
          <w14:ligatures w14:val="none"/>
        </w:rPr>
      </w:r>
    </w:p>
    <w:p w14:paraId="17A38062" w14:textId="250CA2FC">
      <w:pPr>
        <w:numPr>
          <w:ilvl w:val="0"/>
          <w:numId w:val="1"/>
        </w:numPr>
        <w:pBdr/>
        <w:shd w:val="clear" w:color="auto" w:fill="ffffff"/>
        <w:spacing w:after="120" w:beforeAutospacing="1" w:line="240" w:lineRule="auto"/>
        <w:ind/>
        <w:rPr>
          <w:rFonts w:ascii="Calibri" w:hAnsi="Calibri" w:eastAsia="Times New Roman" w:cs="Calibri"/>
          <w:b/>
          <w:bCs/>
          <w:lang w:eastAsia="cs-CZ"/>
          <w14:ligatures w14:val="none"/>
        </w:rPr>
      </w:pPr>
      <w:r>
        <w:rPr>
          <w:rFonts w:ascii="Calibri" w:hAnsi="Calibri" w:eastAsia="Times New Roman" w:cs="Calibri"/>
          <w:b/>
          <w:bCs/>
          <w:lang w:eastAsia="cs-CZ"/>
          <w14:ligatures w14:val="none"/>
        </w:rPr>
        <w:t xml:space="preserve">Kojanova M, Turkova B, Gkalpakiotis S, Cetkovska P, Fialova J, Dolezal T, Machovcova A, Apol ED; </w:t>
      </w:r>
      <w:r>
        <w:rPr>
          <w:rFonts w:ascii="Calibri" w:hAnsi="Calibri" w:eastAsia="Times New Roman" w:cs="Calibri"/>
          <w:b/>
          <w:bCs/>
          <w:u w:val="single"/>
          <w:lang w:eastAsia="cs-CZ"/>
          <w14:ligatures w14:val="none"/>
        </w:rPr>
        <w:t xml:space="preserve">BIOREP Study Group</w:t>
      </w:r>
      <w:r>
        <w:rPr>
          <w:rFonts w:ascii="Calibri" w:hAnsi="Calibri" w:eastAsia="Times New Roman" w:cs="Calibri"/>
          <w:b/>
          <w:bCs/>
          <w:lang w:eastAsia="cs-CZ"/>
          <w14:ligatures w14:val="none"/>
        </w:rPr>
        <w:t xml:space="preserve">. </w:t>
      </w:r>
      <w:r>
        <w:rPr>
          <w:rFonts w:ascii="Calibri" w:hAnsi="Calibri" w:eastAsia="Times New Roman" w:cs="Calibri"/>
          <w:b/>
          <w:bCs/>
          <w:color w:val="3a7c22" w:themeColor="accent6" w:themeShade="BF"/>
          <w:lang w:eastAsia="cs-CZ"/>
          <w14:ligatures w14:val="none"/>
        </w:rPr>
        <w:t xml:space="preserve">Real-World Data on Brodalumab Treatment in Patients with Moderate-to-Severe Plaque Psoriasis: An Observational Study from the Czech Republic BIOREP Registry.</w:t>
      </w:r>
      <w:r>
        <w:rPr>
          <w:rFonts w:ascii="Calibri" w:hAnsi="Calibri" w:eastAsia="Times New Roman" w:cs="Calibri"/>
          <w:b/>
          <w:bCs/>
          <w:lang w:eastAsia="cs-CZ"/>
          <w14:ligatures w14:val="none"/>
        </w:rPr>
        <w:t xml:space="preserve"> </w:t>
      </w:r>
      <w:r>
        <w:rPr>
          <w:rFonts w:ascii="Calibri" w:hAnsi="Calibri" w:eastAsia="Times New Roman" w:cs="Calibri"/>
          <w:b/>
          <w:bCs/>
          <w:lang w:eastAsia="cs-CZ"/>
          <w14:ligatures w14:val="none"/>
        </w:rPr>
        <w:t xml:space="preserve">Adv Ther. 2024 Oct;41(10):3951-3971. doi: 10.1007/s12325-024-02952-4. Epub 2024 Aug 29. PMID: 39207667; PMCID: PMC11399213. </w:t>
      </w:r>
      <w:r>
        <w:rPr>
          <w:rFonts w:ascii="Calibri" w:hAnsi="Calibri" w:eastAsia="Times New Roman" w:cs="Calibri"/>
          <w:b/>
          <w:bCs/>
          <w:lang w:eastAsia="cs-CZ"/>
          <w14:ligatures w14:val="none"/>
        </w:rPr>
        <w:t xml:space="preserve"> </w:t>
      </w:r>
      <w:r>
        <w:rPr>
          <w:rFonts w:ascii="Calibri" w:hAnsi="Calibri" w:eastAsia="Times New Roman" w:cs="Calibri"/>
          <w:b/>
          <w:bCs/>
          <w:lang w:eastAsia="cs-CZ"/>
          <w14:ligatures w14:val="none"/>
        </w:rPr>
      </w:r>
    </w:p>
    <w:p w14:paraId="7680EA44" w14:textId="77777777">
      <w:pPr>
        <w:numPr>
          <w:ilvl w:val="0"/>
          <w:numId w:val="1"/>
        </w:numPr>
        <w:pBdr/>
        <w:shd w:val="clear" w:color="auto" w:fill="ffffff"/>
        <w:spacing w:after="120" w:beforeAutospacing="1" w:line="240" w:lineRule="auto"/>
        <w:ind/>
        <w:rPr>
          <w:rFonts w:ascii="Calibri" w:hAnsi="Calibri" w:eastAsia="Times New Roman" w:cs="Calibri"/>
          <w:i/>
          <w:iCs/>
          <w:lang w:eastAsia="cs-CZ"/>
          <w14:ligatures w14:val="none"/>
        </w:rPr>
      </w:pPr>
      <w:r>
        <w:rPr>
          <w:rFonts w:ascii="Calibri" w:hAnsi="Calibri" w:eastAsia="Times New Roman" w:cs="Calibri"/>
          <w:i/>
          <w:iCs/>
          <w:lang w:eastAsia="cs-CZ"/>
          <w14:ligatures w14:val="none"/>
        </w:rPr>
        <w:t xml:space="preserve">Kojanova M, Fialova J, Cetkovska P, Gkalpakiotis S, Machovcova A, Arenberger P, Stork J, Dolezal T, Turkova B, and the </w:t>
      </w:r>
      <w:r>
        <w:rPr>
          <w:rFonts w:ascii="Calibri" w:hAnsi="Calibri" w:eastAsia="Times New Roman" w:cs="Calibri"/>
          <w:i/>
          <w:iCs/>
          <w:u w:val="single"/>
          <w:lang w:eastAsia="cs-CZ"/>
          <w14:ligatures w14:val="none"/>
        </w:rPr>
        <w:t xml:space="preserve">BIOREP study group</w:t>
      </w:r>
      <w:r>
        <w:rPr>
          <w:rFonts w:ascii="Calibri" w:hAnsi="Calibri" w:eastAsia="Times New Roman" w:cs="Calibri"/>
          <w:i/>
          <w:iCs/>
          <w:lang w:eastAsia="cs-CZ"/>
          <w14:ligatures w14:val="none"/>
        </w:rPr>
        <w:t xml:space="preserve">. </w:t>
      </w:r>
      <w:r>
        <w:rPr>
          <w:rFonts w:ascii="Calibri" w:hAnsi="Calibri" w:eastAsia="Times New Roman" w:cs="Calibri"/>
          <w:i/>
          <w:iCs/>
          <w:color w:val="3a7c22" w:themeColor="accent6" w:themeShade="BF"/>
          <w:lang w:eastAsia="cs-CZ"/>
          <w14:ligatures w14:val="none"/>
        </w:rPr>
        <w:t xml:space="preserve">Apremilast for the treatment of moderate-to-severe psoriasis: Real-world data from the Czech Republic BIOREP Registry. </w:t>
      </w:r>
      <w:r>
        <w:rPr>
          <w:rFonts w:ascii="Calibri" w:hAnsi="Calibri" w:eastAsia="Times New Roman" w:cs="Calibri"/>
          <w:i/>
          <w:iCs/>
          <w:lang w:eastAsia="cs-CZ"/>
          <w14:ligatures w14:val="none"/>
        </w:rPr>
        <w:t xml:space="preserve">EADV Symposium 2023, Seville 18 – 20 May. Abstract ID: 632. </w:t>
      </w:r>
      <w:r>
        <w:rPr>
          <w:rFonts w:ascii="Calibri" w:hAnsi="Calibri" w:eastAsia="Times New Roman" w:cs="Calibri"/>
          <w:i/>
          <w:iCs/>
          <w:lang w:eastAsia="cs-CZ"/>
          <w14:ligatures w14:val="none"/>
        </w:rPr>
      </w:r>
    </w:p>
    <w:p w14:paraId="4AA83B86" w14:textId="5EBA2A0B">
      <w:pPr>
        <w:numPr>
          <w:ilvl w:val="0"/>
          <w:numId w:val="1"/>
        </w:numPr>
        <w:pBdr/>
        <w:spacing w:after="120" w:line="240" w:lineRule="auto"/>
        <w:ind/>
        <w:rPr>
          <w:rFonts w:ascii="Calibri" w:hAnsi="Calibri" w:eastAsia="Times New Roman" w:cs="Calibri"/>
          <w:b/>
          <w:bCs/>
          <w:lang w:eastAsia="cs-CZ"/>
          <w14:ligatures w14:val="none"/>
        </w:rPr>
      </w:pPr>
      <w:r>
        <w:rPr>
          <w:rFonts w:ascii="Calibri" w:hAnsi="Calibri" w:eastAsia="Times New Roman" w:cs="Calibri"/>
          <w:b/>
          <w:bCs/>
          <w:lang w:eastAsia="cs-CZ"/>
          <w14:ligatures w14:val="none"/>
        </w:rPr>
        <w:t xml:space="preserve">Smetanova A, Marques E, Kojanova M, Arenberger P, Strosova D, Fialova J, Arenbergerova M. </w:t>
      </w:r>
      <w:r>
        <w:rPr>
          <w:rFonts w:ascii="Calibri" w:hAnsi="Calibri" w:eastAsia="Times New Roman" w:cs="Calibri"/>
          <w:b/>
          <w:bCs/>
          <w:color w:val="3a7c22" w:themeColor="accent6" w:themeShade="BF"/>
          <w:lang w:eastAsia="cs-CZ"/>
          <w14:ligatures w14:val="none"/>
        </w:rPr>
        <w:t xml:space="preserve">Employing Adalimumab in Treatment of Moderate-to-Severe Hidradenitis Suppurativa: Real-Life Multicenter Data from the Czech Republic</w:t>
      </w:r>
      <w:r>
        <w:rPr>
          <w:rFonts w:ascii="Calibri" w:hAnsi="Calibri" w:eastAsia="Times New Roman" w:cs="Calibri"/>
          <w:b/>
          <w:bCs/>
          <w:lang w:eastAsia="cs-CZ"/>
          <w14:ligatures w14:val="none"/>
        </w:rPr>
        <w:t xml:space="preserve">.</w:t>
      </w:r>
      <w:r>
        <w:rPr>
          <w:rFonts w:ascii="Calibri" w:hAnsi="Calibri" w:eastAsia="Times New Roman" w:cs="Calibri"/>
          <w:b/>
          <w:bCs/>
          <w:lang w:eastAsia="cs-CZ"/>
          <w14:ligatures w14:val="none"/>
        </w:rPr>
        <w:t xml:space="preserve"> </w:t>
      </w:r>
      <w:r>
        <w:rPr>
          <w:rFonts w:ascii="Calibri" w:hAnsi="Calibri" w:eastAsia="Times New Roman" w:cs="Calibri"/>
          <w:b/>
          <w:bCs/>
          <w:lang w:eastAsia="cs-CZ"/>
          <w14:ligatures w14:val="none"/>
        </w:rPr>
        <w:t xml:space="preserve">Dermatol Ther, 2023 Mar 15; Article ID 3640285.</w:t>
      </w:r>
      <w:r>
        <w:rPr>
          <w:rFonts w:ascii="Calibri" w:hAnsi="Calibri" w:eastAsia="Times New Roman" w:cs="Calibri"/>
          <w:b/>
          <w:bCs/>
          <w:lang w:eastAsia="cs-CZ"/>
          <w14:ligatures w14:val="none"/>
        </w:rPr>
      </w:r>
    </w:p>
    <w:p w14:paraId="3300513B" w14:textId="77777777">
      <w:pPr>
        <w:numPr>
          <w:ilvl w:val="0"/>
          <w:numId w:val="1"/>
        </w:numPr>
        <w:pBdr/>
        <w:spacing w:after="120" w:line="240" w:lineRule="auto"/>
        <w:ind/>
        <w:rPr>
          <w:rFonts w:ascii="Calibri" w:hAnsi="Calibri" w:eastAsia="Times New Roman" w:cs="Calibri"/>
          <w:lang w:eastAsia="cs-CZ"/>
          <w14:ligatures w14:val="none"/>
        </w:rPr>
      </w:pPr>
      <w:r>
        <w:rPr>
          <w:rFonts w:ascii="Calibri" w:hAnsi="Calibri" w:eastAsia="Times New Roman" w:cs="Calibri"/>
          <w:i/>
          <w:iCs/>
          <w:lang w:eastAsia="cs-CZ"/>
          <w14:ligatures w14:val="none"/>
        </w:rPr>
        <w:t xml:space="preserve">Kojanova M, Fialova J, Cetkovska P, Gkalpakiotis S, Machovcova A, Arenberger P, Stork J, Dolezal T, Strosova D and the </w:t>
      </w:r>
      <w:r>
        <w:rPr>
          <w:rFonts w:ascii="Calibri" w:hAnsi="Calibri" w:eastAsia="Times New Roman" w:cs="Calibri"/>
          <w:i/>
          <w:iCs/>
          <w:u w:val="single"/>
          <w:lang w:eastAsia="cs-CZ"/>
          <w14:ligatures w14:val="none"/>
        </w:rPr>
        <w:t xml:space="preserve">BIOREP study group</w:t>
      </w:r>
      <w:r>
        <w:rPr>
          <w:rFonts w:ascii="Calibri" w:hAnsi="Calibri" w:eastAsia="Times New Roman" w:cs="Calibri"/>
          <w:i/>
          <w:iCs/>
          <w:lang w:eastAsia="cs-CZ"/>
          <w14:ligatures w14:val="none"/>
        </w:rPr>
        <w:t xml:space="preserve">. </w:t>
      </w:r>
      <w:r>
        <w:rPr>
          <w:rFonts w:ascii="Calibri" w:hAnsi="Calibri" w:eastAsia="Times New Roman" w:cs="Calibri"/>
          <w:i/>
          <w:iCs/>
          <w:color w:val="3a7c22" w:themeColor="accent6" w:themeShade="BF"/>
          <w:lang w:eastAsia="cs-CZ"/>
          <w14:ligatures w14:val="none"/>
        </w:rPr>
        <w:t xml:space="preserve">Risankizumab for the treatment of moderate-to-severe psoriasis: Real-world data from the Czech Republic BIOREP Registry</w:t>
      </w:r>
      <w:r>
        <w:rPr>
          <w:rFonts w:ascii="Calibri" w:hAnsi="Calibri" w:eastAsia="Times New Roman" w:cs="Calibri"/>
          <w:i/>
          <w:iCs/>
          <w:lang w:eastAsia="cs-CZ"/>
          <w14:ligatures w14:val="none"/>
        </w:rPr>
        <w:t xml:space="preserve">. 81st Annual Meeting of the American Academy of Dermatology, 17th - 21st March 2023, New Orleans, LA, USA. E-poster number 43067</w:t>
      </w:r>
      <w:r>
        <w:rPr>
          <w:rFonts w:ascii="Calibri" w:hAnsi="Calibri" w:eastAsia="Times New Roman" w:cs="Calibri"/>
          <w:lang w:eastAsia="cs-CZ"/>
          <w14:ligatures w14:val="none"/>
        </w:rPr>
      </w:r>
    </w:p>
    <w:p w14:paraId="2E391E33" w14:textId="77777777">
      <w:pPr>
        <w:numPr>
          <w:ilvl w:val="0"/>
          <w:numId w:val="1"/>
        </w:numPr>
        <w:pBdr/>
        <w:spacing w:after="120" w:line="240" w:lineRule="auto"/>
        <w:ind/>
        <w:rPr>
          <w:rFonts w:ascii="Calibri" w:hAnsi="Calibri" w:eastAsia="Times New Roman" w:cs="Calibri"/>
          <w:b/>
          <w:bCs/>
          <w:lang w:eastAsia="cs-CZ"/>
          <w14:ligatures w14:val="none"/>
        </w:rPr>
      </w:pPr>
      <w:r>
        <w:rPr>
          <w:rFonts w:ascii="Calibri" w:hAnsi="Calibri" w:eastAsia="Times New Roman" w:cs="Calibri"/>
          <w:b/>
          <w:bCs/>
          <w:lang w:eastAsia="cs-CZ"/>
          <w14:ligatures w14:val="none"/>
        </w:rPr>
        <w:t xml:space="preserve">Hugo J, Kojanova M, Turkova B, Gkalpakiotis S; </w:t>
      </w:r>
      <w:r>
        <w:rPr>
          <w:rFonts w:ascii="Calibri" w:hAnsi="Calibri" w:eastAsia="Times New Roman" w:cs="Calibri"/>
          <w:b/>
          <w:bCs/>
          <w:u w:val="single"/>
          <w:lang w:eastAsia="cs-CZ"/>
          <w14:ligatures w14:val="none"/>
        </w:rPr>
        <w:t xml:space="preserve">BIOREP Study Group</w:t>
      </w:r>
      <w:r>
        <w:rPr>
          <w:rFonts w:ascii="Calibri" w:hAnsi="Calibri" w:eastAsia="Times New Roman" w:cs="Calibri"/>
          <w:b/>
          <w:bCs/>
          <w:lang w:eastAsia="cs-CZ"/>
          <w14:ligatures w14:val="none"/>
        </w:rPr>
        <w:t xml:space="preserve">. </w:t>
      </w:r>
      <w:r>
        <w:rPr>
          <w:rFonts w:ascii="Calibri" w:hAnsi="Calibri" w:eastAsia="Times New Roman" w:cs="Calibri"/>
          <w:b/>
          <w:bCs/>
          <w:color w:val="3a7c22" w:themeColor="accent6" w:themeShade="BF"/>
          <w:lang w:eastAsia="cs-CZ"/>
          <w14:ligatures w14:val="none"/>
        </w:rPr>
        <w:t xml:space="preserve">Long-Term Efficacy, Safety, and Drug Survival of Guselkumab in Patients with Psoriasis: Real-World Data from the Czech Republic BIOREP Registry.</w:t>
      </w:r>
      <w:r>
        <w:rPr>
          <w:rFonts w:ascii="Calibri" w:hAnsi="Calibri" w:eastAsia="Times New Roman" w:cs="Calibri"/>
          <w:b/>
          <w:bCs/>
          <w:lang w:eastAsia="cs-CZ"/>
          <w14:ligatures w14:val="none"/>
        </w:rPr>
        <w:t xml:space="preserve"> Dermatol Ther (Heidelb). 2023 Mar;13(3):787-801. doi: 10.1007/s13555-023-00893-4. </w:t>
      </w:r>
      <w:r>
        <w:rPr>
          <w:rFonts w:ascii="Calibri" w:hAnsi="Calibri" w:eastAsia="Times New Roman" w:cs="Calibri"/>
          <w:b/>
          <w:bCs/>
          <w:lang w:eastAsia="cs-CZ"/>
          <w14:ligatures w14:val="none"/>
        </w:rPr>
      </w:r>
    </w:p>
    <w:p w14:paraId="318EF2C6" w14:textId="26EBD1DF">
      <w:pPr>
        <w:numPr>
          <w:ilvl w:val="0"/>
          <w:numId w:val="1"/>
        </w:numPr>
        <w:pBdr/>
        <w:shd w:val="clear" w:color="auto" w:fill="ffffff"/>
        <w:spacing w:after="120" w:beforeAutospacing="1" w:line="240" w:lineRule="auto"/>
        <w:ind/>
        <w:rPr>
          <w:rFonts w:ascii="Calibri" w:hAnsi="Calibri" w:eastAsia="Times New Roman" w:cs="Calibri"/>
          <w:lang w:eastAsia="cs-CZ"/>
          <w14:ligatures w14:val="none"/>
        </w:rPr>
      </w:pPr>
      <w:r>
        <w:rPr>
          <w:rFonts w:ascii="Calibri" w:hAnsi="Calibri" w:eastAsia="Times New Roman" w:cs="Calibri"/>
          <w:lang w:eastAsia="cs-CZ"/>
          <w14:ligatures w14:val="none"/>
        </w:rPr>
        <w:t xml:space="preserve">Kojanová M, Cetkovská P, Gkalpakiotis S, Fialová J, Machovcová A, Štork J, Arenberger P, Doležal T, Turková B, skupina BIOREP. </w:t>
      </w:r>
      <w:r>
        <w:rPr>
          <w:rFonts w:ascii="Calibri" w:hAnsi="Calibri" w:eastAsia="Times New Roman" w:cs="Calibri"/>
          <w:color w:val="3a7c22" w:themeColor="accent6" w:themeShade="BF"/>
          <w:lang w:eastAsia="cs-CZ"/>
          <w14:ligatures w14:val="none"/>
        </w:rPr>
        <w:t xml:space="preserve">BIOREP – registr biologické/cílené léčby: Souhrnná zpráva za rok 2022. </w:t>
      </w:r>
      <w:r>
        <w:rPr>
          <w:rFonts w:ascii="Calibri" w:hAnsi="Calibri" w:eastAsia="Times New Roman" w:cs="Calibri"/>
          <w:lang w:eastAsia="cs-CZ"/>
          <w14:ligatures w14:val="none"/>
        </w:rPr>
        <w:t xml:space="preserve">Čes-slov Derm, 98, 2023, No. 2, p. 45–120.</w:t>
      </w:r>
      <w:r>
        <w:rPr>
          <w:rFonts w:ascii="Calibri" w:hAnsi="Calibri" w:eastAsia="Times New Roman" w:cs="Calibri"/>
          <w:lang w:eastAsia="cs-CZ"/>
          <w14:ligatures w14:val="none"/>
        </w:rPr>
      </w:r>
    </w:p>
    <w:p w14:paraId="6048553B" w14:textId="09A1B057">
      <w:pPr>
        <w:numPr>
          <w:ilvl w:val="0"/>
          <w:numId w:val="1"/>
        </w:numPr>
        <w:pBdr/>
        <w:shd w:val="clear" w:color="auto" w:fill="ffffff"/>
        <w:spacing w:after="120" w:beforeAutospacing="1" w:line="240" w:lineRule="auto"/>
        <w:ind/>
        <w:rPr>
          <w:rFonts w:ascii="Calibri" w:hAnsi="Calibri" w:eastAsia="Times New Roman" w:cs="Calibri"/>
          <w:lang w:eastAsia="cs-CZ"/>
          <w14:ligatures w14:val="none"/>
        </w:rPr>
      </w:pPr>
      <w:r>
        <w:rPr>
          <w:rFonts w:ascii="Calibri" w:hAnsi="Calibri" w:eastAsia="Times New Roman" w:cs="Calibri"/>
          <w:lang w:eastAsia="cs-CZ"/>
          <w14:ligatures w14:val="none"/>
        </w:rPr>
        <w:t xml:space="preserve">Kojanová, M., Cetkovská, P., Gkalpakiotis, S., Fialová, J., Machovcová, A., Štork, J., Arenberger, P., Doležal, T., &amp; Velacková, B. a </w:t>
      </w:r>
      <w:r>
        <w:rPr>
          <w:rFonts w:ascii="Calibri" w:hAnsi="Calibri" w:eastAsia="Times New Roman" w:cs="Calibri"/>
          <w:u w:val="single"/>
          <w:lang w:eastAsia="cs-CZ"/>
          <w14:ligatures w14:val="none"/>
        </w:rPr>
        <w:t xml:space="preserve">Biorep Skupina</w:t>
      </w:r>
      <w:r>
        <w:rPr>
          <w:rFonts w:ascii="Calibri" w:hAnsi="Calibri" w:eastAsia="Times New Roman" w:cs="Calibri"/>
          <w:lang w:eastAsia="cs-CZ"/>
          <w14:ligatures w14:val="none"/>
        </w:rPr>
        <w:t xml:space="preserve">. </w:t>
      </w:r>
      <w:r>
        <w:rPr>
          <w:rFonts w:ascii="Calibri" w:hAnsi="Calibri" w:eastAsia="Times New Roman" w:cs="Calibri"/>
          <w:color w:val="3a7c22" w:themeColor="accent6" w:themeShade="BF"/>
          <w:lang w:eastAsia="cs-CZ"/>
          <w14:ligatures w14:val="none"/>
        </w:rPr>
        <w:t xml:space="preserve">Registr biologické/cílené léčby BIOREP - Souhrnná zpráva za rok 2021.</w:t>
      </w:r>
      <w:r>
        <w:rPr>
          <w:rFonts w:ascii="Calibri" w:hAnsi="Calibri" w:eastAsia="Times New Roman" w:cs="Calibri"/>
          <w:lang w:eastAsia="cs-CZ"/>
          <w14:ligatures w14:val="none"/>
        </w:rPr>
        <w:t xml:space="preserve"> Čes-slov</w:t>
      </w:r>
      <w:r>
        <w:rPr>
          <w:rFonts w:ascii="Calibri" w:hAnsi="Calibri" w:eastAsia="Times New Roman" w:cs="Calibri"/>
          <w:lang w:eastAsia="cs-CZ"/>
          <w14:ligatures w14:val="none"/>
        </w:rPr>
        <w:t xml:space="preserve"> D</w:t>
      </w:r>
      <w:r>
        <w:rPr>
          <w:rFonts w:ascii="Calibri" w:hAnsi="Calibri" w:eastAsia="Times New Roman" w:cs="Calibri"/>
          <w:lang w:eastAsia="cs-CZ"/>
          <w14:ligatures w14:val="none"/>
        </w:rPr>
        <w:t xml:space="preserve">erm</w:t>
      </w:r>
      <w:r>
        <w:rPr>
          <w:rFonts w:ascii="Calibri" w:hAnsi="Calibri" w:eastAsia="Times New Roman" w:cs="Calibri"/>
          <w:lang w:eastAsia="cs-CZ"/>
          <w14:ligatures w14:val="none"/>
        </w:rPr>
        <w:t xml:space="preserve">, </w:t>
      </w:r>
      <w:r>
        <w:rPr>
          <w:rFonts w:ascii="Calibri" w:hAnsi="Calibri" w:eastAsia="Times New Roman" w:cs="Calibri"/>
          <w:lang w:eastAsia="cs-CZ"/>
          <w14:ligatures w14:val="none"/>
        </w:rPr>
        <w:t xml:space="preserve">2022, 97(3), 102-124. </w:t>
      </w:r>
      <w:r>
        <w:rPr>
          <w:rFonts w:ascii="Calibri" w:hAnsi="Calibri" w:eastAsia="Times New Roman" w:cs="Calibri"/>
          <w:lang w:eastAsia="cs-CZ"/>
          <w14:ligatures w14:val="none"/>
        </w:rPr>
      </w:r>
    </w:p>
    <w:p w14:paraId="51FA95F1" w14:textId="77777777">
      <w:pPr>
        <w:numPr>
          <w:ilvl w:val="0"/>
          <w:numId w:val="1"/>
        </w:numPr>
        <w:pBdr/>
        <w:shd w:val="clear" w:color="auto" w:fill="ffffff"/>
        <w:spacing w:after="120" w:beforeAutospacing="1" w:line="240" w:lineRule="auto"/>
        <w:ind/>
        <w:rPr>
          <w:rFonts w:ascii="Calibri" w:hAnsi="Calibri" w:eastAsia="Times New Roman" w:cs="Calibri"/>
          <w:b/>
          <w:bCs/>
          <w:lang w:eastAsia="cs-CZ"/>
          <w14:ligatures w14:val="none"/>
        </w:rPr>
      </w:pPr>
      <w:r>
        <w:rPr>
          <w:rFonts w:ascii="Calibri" w:hAnsi="Calibri" w:eastAsia="Times New Roman" w:cs="Calibri"/>
          <w:b/>
          <w:bCs/>
          <w:lang w:eastAsia="cs-CZ"/>
          <w14:ligatures w14:val="none"/>
        </w:rPr>
        <w:t xml:space="preserve">Tichy M, Kojanova M, Velackova B, Dolezal T, Gkalpakiotis S, Cetkovska P; </w:t>
      </w:r>
      <w:r>
        <w:rPr>
          <w:rFonts w:ascii="Calibri" w:hAnsi="Calibri" w:eastAsia="Times New Roman" w:cs="Calibri"/>
          <w:b/>
          <w:bCs/>
          <w:u w:val="single"/>
          <w:lang w:eastAsia="cs-CZ"/>
          <w14:ligatures w14:val="none"/>
        </w:rPr>
        <w:t xml:space="preserve">BIOREP study group.</w:t>
      </w:r>
      <w:r>
        <w:rPr>
          <w:rFonts w:ascii="Calibri" w:hAnsi="Calibri" w:eastAsia="Times New Roman" w:cs="Calibri"/>
          <w:b/>
          <w:bCs/>
          <w:lang w:eastAsia="cs-CZ"/>
          <w14:ligatures w14:val="none"/>
        </w:rPr>
        <w:t xml:space="preserve"> </w:t>
      </w:r>
      <w:r>
        <w:rPr>
          <w:rFonts w:ascii="Calibri" w:hAnsi="Calibri" w:eastAsia="Times New Roman" w:cs="Calibri"/>
          <w:b/>
          <w:bCs/>
          <w:color w:val="3a7c22" w:themeColor="accent6" w:themeShade="BF"/>
          <w:lang w:eastAsia="cs-CZ"/>
          <w14:ligatures w14:val="none"/>
        </w:rPr>
        <w:t xml:space="preserve">Efficacy of switches within the class of IL-17 inhibitors: An analysis of data from the Czech nationwide registry of psoriatic patients receiving biological/targeted therapy (BIOREP).</w:t>
      </w:r>
      <w:r>
        <w:rPr>
          <w:rFonts w:ascii="Calibri" w:hAnsi="Calibri" w:eastAsia="Times New Roman" w:cs="Calibri"/>
          <w:b/>
          <w:bCs/>
          <w:lang w:eastAsia="cs-CZ"/>
          <w14:ligatures w14:val="none"/>
        </w:rPr>
        <w:t xml:space="preserve"> Dermatol Ther. 2022 Oct;35(10):e15772. doi: 10.1111/dth.15772.</w:t>
      </w:r>
      <w:r>
        <w:rPr>
          <w:rFonts w:ascii="Calibri" w:hAnsi="Calibri" w:eastAsia="Times New Roman" w:cs="Calibri"/>
          <w:b/>
          <w:bCs/>
          <w:lang w:eastAsia="cs-CZ"/>
          <w14:ligatures w14:val="none"/>
        </w:rPr>
      </w:r>
    </w:p>
    <w:p w14:paraId="155732C4" w14:textId="77777777">
      <w:pPr>
        <w:numPr>
          <w:ilvl w:val="0"/>
          <w:numId w:val="1"/>
        </w:numPr>
        <w:pBdr/>
        <w:shd w:val="clear" w:color="auto" w:fill="ffffff"/>
        <w:spacing w:after="120" w:beforeAutospacing="1" w:line="240" w:lineRule="auto"/>
        <w:ind/>
        <w:rPr>
          <w:rFonts w:ascii="Calibri" w:hAnsi="Calibri" w:eastAsia="Times New Roman" w:cs="Calibri"/>
          <w:b/>
          <w:bCs/>
          <w:lang w:eastAsia="cs-CZ"/>
          <w14:ligatures w14:val="none"/>
        </w:rPr>
      </w:pPr>
      <w:r>
        <w:rPr>
          <w:rFonts w:ascii="Calibri" w:hAnsi="Calibri" w:eastAsia="Times New Roman" w:cs="Calibri"/>
          <w:b/>
          <w:bCs/>
          <w:lang w:eastAsia="cs-CZ"/>
          <w14:ligatures w14:val="none"/>
        </w:rPr>
        <w:t xml:space="preserve">Kojanova M, Hugo J, Velackova B, Cetkovska P, Fialova J, Dolezal T, Tichy M, Gkalpakiotis S; </w:t>
      </w:r>
      <w:r>
        <w:rPr>
          <w:rFonts w:ascii="Calibri" w:hAnsi="Calibri" w:eastAsia="Times New Roman" w:cs="Calibri"/>
          <w:b/>
          <w:bCs/>
          <w:u w:val="single"/>
          <w:lang w:eastAsia="cs-CZ"/>
          <w14:ligatures w14:val="none"/>
        </w:rPr>
        <w:t xml:space="preserve">BIOREP study group</w:t>
      </w:r>
      <w:r>
        <w:rPr>
          <w:rFonts w:ascii="Calibri" w:hAnsi="Calibri" w:eastAsia="Times New Roman" w:cs="Calibri"/>
          <w:b/>
          <w:bCs/>
          <w:lang w:eastAsia="cs-CZ"/>
          <w14:ligatures w14:val="none"/>
        </w:rPr>
        <w:t xml:space="preserve">. </w:t>
      </w:r>
      <w:r>
        <w:rPr>
          <w:rFonts w:ascii="Calibri" w:hAnsi="Calibri" w:eastAsia="Times New Roman" w:cs="Calibri"/>
          <w:b/>
          <w:bCs/>
          <w:color w:val="3a7c22" w:themeColor="accent6" w:themeShade="BF"/>
          <w:lang w:eastAsia="cs-CZ"/>
          <w14:ligatures w14:val="none"/>
        </w:rPr>
        <w:t xml:space="preserve">Efficacy, safety, and drug survival of patients with psoriasis treated with IL-17 inhibitors - brodalumab, ixekizumab, and secukinumab: real-world data from the Czech Republic BIOREP registry. </w:t>
      </w:r>
      <w:r>
        <w:rPr>
          <w:rFonts w:ascii="Calibri" w:hAnsi="Calibri" w:eastAsia="Times New Roman" w:cs="Calibri"/>
          <w:b/>
          <w:bCs/>
          <w:lang w:eastAsia="cs-CZ"/>
          <w14:ligatures w14:val="none"/>
        </w:rPr>
        <w:t xml:space="preserve">J Dermatolog Treat. 2022 May 29:1-11. doi: 10.1080/09546634.2022.2082354. </w:t>
      </w:r>
      <w:r>
        <w:rPr>
          <w:rFonts w:ascii="Calibri" w:hAnsi="Calibri" w:eastAsia="Times New Roman" w:cs="Calibri"/>
          <w:b/>
          <w:bCs/>
          <w:lang w:eastAsia="cs-CZ"/>
          <w14:ligatures w14:val="none"/>
        </w:rPr>
      </w:r>
    </w:p>
    <w:p w14:paraId="4D43587A" w14:textId="77777777">
      <w:pPr>
        <w:numPr>
          <w:ilvl w:val="0"/>
          <w:numId w:val="1"/>
        </w:numPr>
        <w:pBdr/>
        <w:shd w:val="clear" w:color="auto" w:fill="ffffff"/>
        <w:spacing w:after="120" w:beforeAutospacing="1" w:line="240" w:lineRule="auto"/>
        <w:ind/>
        <w:rPr>
          <w:rFonts w:ascii="Calibri" w:hAnsi="Calibri" w:eastAsia="Times New Roman" w:cs="Calibri"/>
          <w:b/>
          <w:bCs/>
          <w:lang w:eastAsia="cs-CZ"/>
          <w14:ligatures w14:val="none"/>
        </w:rPr>
      </w:pPr>
      <w:r>
        <w:rPr>
          <w:rFonts w:ascii="Calibri" w:hAnsi="Calibri" w:eastAsia="Times New Roman" w:cs="Calibri"/>
          <w:b/>
          <w:bCs/>
          <w:lang w:eastAsia="cs-CZ"/>
          <w14:ligatures w14:val="none"/>
        </w:rPr>
        <w:t xml:space="preserve">Tánczosová M, Kojanová M, Arenbergerová M, Arenberger P, Doležal T, Štrosová D, Fialová J, Gkalpakiotis S. </w:t>
      </w:r>
      <w:r>
        <w:rPr>
          <w:rFonts w:ascii="Calibri" w:hAnsi="Calibri" w:eastAsia="Times New Roman" w:cs="Calibri"/>
          <w:b/>
          <w:bCs/>
          <w:color w:val="3a7c22" w:themeColor="accent6" w:themeShade="BF"/>
          <w:lang w:eastAsia="cs-CZ"/>
          <w14:ligatures w14:val="none"/>
        </w:rPr>
        <w:t xml:space="preserve">Real-life experience in the effectiveness, impact on quality of life and safety of dupilumab treatment in patients with moderate to severe atopic dermatitis in the Czech Republic. </w:t>
      </w:r>
      <w:r>
        <w:rPr>
          <w:rFonts w:ascii="Calibri" w:hAnsi="Calibri" w:eastAsia="Times New Roman" w:cs="Calibri"/>
          <w:b/>
          <w:bCs/>
          <w:lang w:eastAsia="cs-CZ"/>
          <w14:ligatures w14:val="none"/>
        </w:rPr>
        <w:t xml:space="preserve">Cent Eur J Public Health. 2022 Mar;30(1):46-50.</w:t>
      </w:r>
      <w:r>
        <w:rPr>
          <w:rFonts w:ascii="Calibri" w:hAnsi="Calibri" w:eastAsia="Times New Roman" w:cs="Calibri"/>
          <w:b/>
          <w:bCs/>
          <w:lang w:eastAsia="cs-CZ"/>
          <w14:ligatures w14:val="none"/>
        </w:rPr>
      </w:r>
    </w:p>
    <w:p w14:paraId="2BA620E8" w14:textId="77777777">
      <w:pPr>
        <w:numPr>
          <w:ilvl w:val="0"/>
          <w:numId w:val="1"/>
        </w:numPr>
        <w:pBdr/>
        <w:shd w:val="clear" w:color="auto" w:fill="ffffff"/>
        <w:spacing w:after="120" w:beforeAutospacing="1" w:line="240" w:lineRule="auto"/>
        <w:ind/>
        <w:rPr>
          <w:rFonts w:ascii="Calibri" w:hAnsi="Calibri" w:eastAsia="Times New Roman" w:cs="Calibri"/>
          <w:b/>
          <w:bCs/>
          <w:lang w:eastAsia="cs-CZ"/>
          <w14:ligatures w14:val="none"/>
        </w:rPr>
      </w:pPr>
      <w:r>
        <w:rPr>
          <w:rFonts w:ascii="Calibri" w:hAnsi="Calibri" w:eastAsia="Times New Roman" w:cs="Calibri"/>
          <w:b/>
          <w:bCs/>
          <w:lang w:eastAsia="cs-CZ"/>
          <w14:ligatures w14:val="none"/>
        </w:rPr>
        <w:t xml:space="preserve">Kojanova M, Tanczosova M, Strosova D, Cetkovska P, Fialova J, Dolezal T, Machovcova A, Gkalpakiotis S; </w:t>
      </w:r>
      <w:r>
        <w:rPr>
          <w:rFonts w:ascii="Calibri" w:hAnsi="Calibri" w:eastAsia="Times New Roman" w:cs="Calibri"/>
          <w:b/>
          <w:bCs/>
          <w:u w:val="single"/>
          <w:lang w:eastAsia="cs-CZ"/>
          <w14:ligatures w14:val="none"/>
        </w:rPr>
        <w:t xml:space="preserve">BIOREP Study Group</w:t>
      </w:r>
      <w:r>
        <w:rPr>
          <w:rFonts w:ascii="Calibri" w:hAnsi="Calibri" w:eastAsia="Times New Roman" w:cs="Calibri"/>
          <w:b/>
          <w:bCs/>
          <w:lang w:eastAsia="cs-CZ"/>
          <w14:ligatures w14:val="none"/>
        </w:rPr>
        <w:t xml:space="preserve">. </w:t>
      </w:r>
      <w:r>
        <w:rPr>
          <w:rFonts w:ascii="Calibri" w:hAnsi="Calibri" w:eastAsia="Times New Roman" w:cs="Calibri"/>
          <w:b/>
          <w:bCs/>
          <w:color w:val="3a7c22" w:themeColor="accent6" w:themeShade="BF"/>
          <w:lang w:eastAsia="cs-CZ"/>
          <w14:ligatures w14:val="none"/>
        </w:rPr>
        <w:t xml:space="preserve">Dupilumab for the treatment of atopic dermatitis: real-world data from the Czech Republic BIOREP registry. </w:t>
      </w:r>
      <w:r>
        <w:rPr>
          <w:rFonts w:ascii="Calibri" w:hAnsi="Calibri" w:eastAsia="Times New Roman" w:cs="Calibri"/>
          <w:b/>
          <w:bCs/>
          <w:lang w:eastAsia="cs-CZ"/>
          <w14:ligatures w14:val="none"/>
        </w:rPr>
        <w:t xml:space="preserve">J Dermatolog Treat. 2022 Feb 21:1-9. doi: 10.1080/09546634.2022.2043545. </w:t>
      </w:r>
      <w:r>
        <w:rPr>
          <w:rFonts w:ascii="Calibri" w:hAnsi="Calibri" w:eastAsia="Times New Roman" w:cs="Calibri"/>
          <w:b/>
          <w:bCs/>
          <w:lang w:eastAsia="cs-CZ"/>
          <w14:ligatures w14:val="none"/>
        </w:rPr>
      </w:r>
    </w:p>
    <w:p w14:paraId="1F491CEE" w14:textId="0803D3D5">
      <w:pPr>
        <w:numPr>
          <w:ilvl w:val="0"/>
          <w:numId w:val="1"/>
        </w:numPr>
        <w:pBdr/>
        <w:shd w:val="clear" w:color="auto" w:fill="ffffff"/>
        <w:spacing w:after="120" w:beforeAutospacing="1" w:line="240" w:lineRule="auto"/>
        <w:ind/>
        <w:rPr>
          <w:rFonts w:ascii="Calibri" w:hAnsi="Calibri" w:eastAsia="Times New Roman" w:cs="Calibri"/>
          <w:i/>
          <w:iCs/>
          <w:color w:val="3a7c22" w:themeColor="accent6" w:themeShade="BF"/>
          <w:lang w:eastAsia="cs-CZ"/>
          <w14:ligatures w14:val="none"/>
        </w:rPr>
      </w:pPr>
      <w:r>
        <w:rPr>
          <w:rFonts w:ascii="Calibri" w:hAnsi="Calibri" w:eastAsia="Times New Roman" w:cs="Calibri"/>
          <w:i/>
          <w:iCs/>
          <w:lang w:eastAsia="cs-CZ"/>
          <w14:ligatures w14:val="none"/>
        </w:rPr>
        <w:t xml:space="preserve">Kojanova M, Velackova Turkova B, Cetkovska P, Fialova J, Lomicova I, Dolezal T, Gkalpakiotis S and the </w:t>
      </w:r>
      <w:r>
        <w:rPr>
          <w:rFonts w:ascii="Calibri" w:hAnsi="Calibri" w:eastAsia="Times New Roman" w:cs="Calibri"/>
          <w:i/>
          <w:iCs/>
          <w:u w:val="single"/>
          <w:lang w:eastAsia="cs-CZ"/>
          <w14:ligatures w14:val="none"/>
        </w:rPr>
        <w:t xml:space="preserve">BIOREP study group</w:t>
      </w:r>
      <w:r>
        <w:rPr>
          <w:rFonts w:ascii="Calibri" w:hAnsi="Calibri" w:eastAsia="Times New Roman" w:cs="Calibri"/>
          <w:i/>
          <w:iCs/>
          <w:lang w:eastAsia="cs-CZ"/>
          <w14:ligatures w14:val="none"/>
        </w:rPr>
        <w:t xml:space="preserve">. </w:t>
      </w:r>
      <w:r>
        <w:rPr>
          <w:rFonts w:ascii="Calibri" w:hAnsi="Calibri" w:eastAsia="Times New Roman" w:cs="Calibri"/>
          <w:i/>
          <w:iCs/>
          <w:color w:val="3a7c22" w:themeColor="accent6" w:themeShade="BF"/>
          <w:lang w:eastAsia="cs-CZ"/>
          <w14:ligatures w14:val="none"/>
        </w:rPr>
        <w:t xml:space="preserve">Characteristics of patients with psoriasis initiating ixekizumab therapy - Real-world data from the BIOREP registry.</w:t>
      </w:r>
      <w:r>
        <w:rPr>
          <w:rFonts w:ascii="Calibri" w:hAnsi="Calibri" w:eastAsia="Times New Roman" w:cs="Calibri"/>
          <w:i/>
          <w:iCs/>
          <w:lang w:eastAsia="cs-CZ"/>
          <w14:ligatures w14:val="none"/>
        </w:rPr>
        <w:t xml:space="preserve">Poster 1507; 31st Congress of the European Academy of Dermatology and Venereology, 7th - 10th September 2022, Abstract ID 1030</w:t>
      </w:r>
      <w:r>
        <w:rPr>
          <w:rFonts w:ascii="Calibri" w:hAnsi="Calibri" w:eastAsia="Times New Roman" w:cs="Calibri"/>
          <w:i/>
          <w:iCs/>
          <w:lang w:eastAsia="cs-CZ"/>
          <w14:ligatures w14:val="none"/>
        </w:rPr>
        <w:t xml:space="preserve">.</w:t>
      </w:r>
      <w:r>
        <w:rPr>
          <w:rFonts w:ascii="Calibri" w:hAnsi="Calibri" w:eastAsia="Times New Roman" w:cs="Calibri"/>
          <w:i/>
          <w:iCs/>
          <w:color w:val="3a7c22" w:themeColor="accent6" w:themeShade="BF"/>
          <w:lang w:eastAsia="cs-CZ"/>
          <w14:ligatures w14:val="none"/>
        </w:rPr>
      </w:r>
    </w:p>
    <w:p w14:paraId="52E79639" w14:textId="746011BC">
      <w:pPr>
        <w:numPr>
          <w:ilvl w:val="0"/>
          <w:numId w:val="1"/>
        </w:numPr>
        <w:pBdr/>
        <w:shd w:val="clear" w:color="auto" w:fill="ffffff"/>
        <w:spacing w:after="120" w:beforeAutospacing="1" w:line="240" w:lineRule="auto"/>
        <w:ind/>
        <w:rPr>
          <w:rFonts w:ascii="Calibri" w:hAnsi="Calibri" w:eastAsia="Times New Roman" w:cs="Calibri"/>
          <w:i/>
          <w:iCs/>
          <w:color w:val="3a7c22" w:themeColor="accent6" w:themeShade="BF"/>
          <w:lang w:eastAsia="cs-CZ"/>
          <w14:ligatures w14:val="none"/>
        </w:rPr>
      </w:pPr>
      <w:r>
        <w:rPr>
          <w:rFonts w:ascii="Calibri" w:hAnsi="Calibri" w:eastAsia="Times New Roman" w:cs="Calibri"/>
          <w:i/>
          <w:iCs/>
          <w:lang w:eastAsia="cs-CZ"/>
          <w14:ligatures w14:val="none"/>
        </w:rPr>
        <w:t xml:space="preserve">Kojanova M, Gkalpakiotis S, Fialova J, Cetkovsky M, Dolezal T, Velackova Turkova B and the </w:t>
      </w:r>
      <w:r>
        <w:rPr>
          <w:rFonts w:ascii="Calibri" w:hAnsi="Calibri" w:eastAsia="Times New Roman" w:cs="Calibri"/>
          <w:i/>
          <w:iCs/>
          <w:u w:val="single"/>
          <w:lang w:eastAsia="cs-CZ"/>
          <w14:ligatures w14:val="none"/>
        </w:rPr>
        <w:t xml:space="preserve">BIOREP study group</w:t>
      </w:r>
      <w:r>
        <w:rPr>
          <w:rFonts w:ascii="Calibri" w:hAnsi="Calibri" w:eastAsia="Times New Roman" w:cs="Calibri"/>
          <w:i/>
          <w:iCs/>
          <w:lang w:eastAsia="cs-CZ"/>
          <w14:ligatures w14:val="none"/>
        </w:rPr>
        <w:t xml:space="preserve">. </w:t>
      </w:r>
      <w:r>
        <w:rPr>
          <w:rFonts w:ascii="Calibri" w:hAnsi="Calibri" w:eastAsia="Times New Roman" w:cs="Calibri"/>
          <w:i/>
          <w:iCs/>
          <w:color w:val="3a7c22" w:themeColor="accent6" w:themeShade="BF"/>
          <w:lang w:eastAsia="cs-CZ"/>
          <w14:ligatures w14:val="none"/>
        </w:rPr>
        <w:t xml:space="preserve">Effectiveness and safety of ixekizumab therapy in patients with severe psoriasis - Real-world data from the BIOREP registry. </w:t>
      </w:r>
      <w:r>
        <w:rPr>
          <w:rFonts w:ascii="Calibri" w:hAnsi="Calibri" w:eastAsia="Times New Roman" w:cs="Calibri"/>
          <w:i/>
          <w:iCs/>
          <w:lang w:eastAsia="cs-CZ"/>
          <w14:ligatures w14:val="none"/>
        </w:rPr>
        <w:t xml:space="preserve">Poster 1508; 31st Congress of the European Academy of Dermatology and Venereology, 7th - 10th September 2022, Abstract ID 1032</w:t>
      </w:r>
      <w:r>
        <w:rPr>
          <w:rFonts w:ascii="Calibri" w:hAnsi="Calibri" w:eastAsia="Times New Roman" w:cs="Calibri"/>
          <w:i/>
          <w:iCs/>
          <w:lang w:eastAsia="cs-CZ"/>
          <w14:ligatures w14:val="none"/>
        </w:rPr>
        <w:t xml:space="preserve">.</w:t>
      </w:r>
      <w:r>
        <w:rPr>
          <w:rFonts w:ascii="Calibri" w:hAnsi="Calibri" w:eastAsia="Times New Roman" w:cs="Calibri"/>
          <w:i/>
          <w:iCs/>
          <w:color w:val="3a7c22" w:themeColor="accent6" w:themeShade="BF"/>
          <w:lang w:eastAsia="cs-CZ"/>
          <w14:ligatures w14:val="none"/>
        </w:rPr>
      </w:r>
    </w:p>
    <w:p w14:paraId="197AF8A7" w14:textId="45E2E866">
      <w:pPr>
        <w:numPr>
          <w:ilvl w:val="0"/>
          <w:numId w:val="1"/>
        </w:numPr>
        <w:pBdr/>
        <w:shd w:val="clear" w:color="auto" w:fill="ffffff"/>
        <w:spacing w:after="120" w:beforeAutospacing="1" w:line="240" w:lineRule="auto"/>
        <w:ind/>
        <w:rPr>
          <w:rFonts w:ascii="Calibri" w:hAnsi="Calibri" w:eastAsia="Times New Roman" w:cs="Calibri"/>
          <w:i/>
          <w:iCs/>
          <w:lang w:eastAsia="cs-CZ"/>
          <w14:ligatures w14:val="none"/>
        </w:rPr>
      </w:pPr>
      <w:r>
        <w:rPr>
          <w:rFonts w:ascii="Calibri" w:hAnsi="Calibri" w:eastAsia="Times New Roman" w:cs="Calibri"/>
          <w:i/>
          <w:iCs/>
          <w:lang w:eastAsia="cs-CZ"/>
          <w14:ligatures w14:val="none"/>
        </w:rPr>
        <w:t xml:space="preserve">Kojanova M, Velackova Turkova B, Cetkovska P, Fialova J, Dolezal T, Tichy M, Gkalpakiotis S and the </w:t>
      </w:r>
      <w:r>
        <w:rPr>
          <w:rFonts w:ascii="Calibri" w:hAnsi="Calibri" w:eastAsia="Times New Roman" w:cs="Calibri"/>
          <w:i/>
          <w:iCs/>
          <w:u w:val="single"/>
          <w:lang w:eastAsia="cs-CZ"/>
          <w14:ligatures w14:val="none"/>
        </w:rPr>
        <w:t xml:space="preserve">BIOREP study group</w:t>
      </w:r>
      <w:r>
        <w:rPr>
          <w:rFonts w:ascii="Calibri" w:hAnsi="Calibri" w:eastAsia="Times New Roman" w:cs="Calibri"/>
          <w:i/>
          <w:iCs/>
          <w:lang w:eastAsia="cs-CZ"/>
          <w14:ligatures w14:val="none"/>
        </w:rPr>
        <w:t xml:space="preserve">. </w:t>
      </w:r>
      <w:r>
        <w:rPr>
          <w:rFonts w:ascii="Calibri" w:hAnsi="Calibri" w:eastAsia="Times New Roman" w:cs="Calibri"/>
          <w:i/>
          <w:iCs/>
          <w:color w:val="3a7c22" w:themeColor="accent6" w:themeShade="BF"/>
          <w:lang w:eastAsia="cs-CZ"/>
          <w14:ligatures w14:val="none"/>
        </w:rPr>
        <w:t xml:space="preserve">Drug survival in patients with severe psoriasis treated with ixekizumab - Real-world data from the BIOREP registry. </w:t>
      </w:r>
      <w:r>
        <w:rPr>
          <w:rFonts w:ascii="Calibri" w:hAnsi="Calibri" w:eastAsia="Times New Roman" w:cs="Calibri"/>
          <w:i/>
          <w:iCs/>
          <w:lang w:eastAsia="cs-CZ"/>
          <w14:ligatures w14:val="none"/>
        </w:rPr>
        <w:t xml:space="preserve">Poster 1509; Congress of the European Academy of Dermatology and Venereology, 7th - 10th September 2022, Abstract ID 1034</w:t>
      </w:r>
      <w:r>
        <w:rPr>
          <w:rFonts w:ascii="Calibri" w:hAnsi="Calibri" w:eastAsia="Times New Roman" w:cs="Calibri"/>
          <w:i/>
          <w:iCs/>
          <w:lang w:eastAsia="cs-CZ"/>
          <w14:ligatures w14:val="none"/>
        </w:rPr>
        <w:t xml:space="preserve">.</w:t>
      </w:r>
      <w:r>
        <w:rPr>
          <w:rFonts w:ascii="Calibri" w:hAnsi="Calibri" w:eastAsia="Times New Roman" w:cs="Calibri"/>
          <w:i/>
          <w:iCs/>
          <w:lang w:eastAsia="cs-CZ"/>
          <w14:ligatures w14:val="none"/>
        </w:rPr>
        <w:t xml:space="preserve"> </w:t>
      </w:r>
      <w:r>
        <w:rPr>
          <w:rFonts w:ascii="Calibri" w:hAnsi="Calibri" w:eastAsia="Times New Roman" w:cs="Calibri"/>
          <w:i/>
          <w:iCs/>
          <w:lang w:eastAsia="cs-CZ"/>
          <w14:ligatures w14:val="none"/>
        </w:rPr>
      </w:r>
    </w:p>
    <w:p w14:paraId="1DA1E062" w14:textId="77777777">
      <w:pPr>
        <w:numPr>
          <w:ilvl w:val="0"/>
          <w:numId w:val="1"/>
        </w:numPr>
        <w:pBdr/>
        <w:shd w:val="clear" w:color="auto" w:fill="ffffff"/>
        <w:spacing w:after="120" w:beforeAutospacing="1" w:line="240" w:lineRule="auto"/>
        <w:ind/>
        <w:rPr>
          <w:rFonts w:ascii="Calibri" w:hAnsi="Calibri" w:eastAsia="Times New Roman" w:cs="Calibri"/>
          <w:b/>
          <w:bCs/>
          <w:lang w:eastAsia="cs-CZ"/>
          <w14:ligatures w14:val="none"/>
        </w:rPr>
      </w:pPr>
      <w:r>
        <w:rPr>
          <w:rFonts w:ascii="Calibri" w:hAnsi="Calibri" w:eastAsia="Times New Roman" w:cs="Calibri"/>
          <w:b/>
          <w:bCs/>
          <w:lang w:eastAsia="cs-CZ"/>
          <w14:ligatures w14:val="none"/>
        </w:rPr>
        <w:t xml:space="preserve">Gkalpakiotis S, Cetkovska P, Arenberger P, Dolezal T, Arenbergerova M, Velackova B, Fialova J, Kojanova M; </w:t>
      </w:r>
      <w:r>
        <w:rPr>
          <w:rFonts w:ascii="Calibri" w:hAnsi="Calibri" w:eastAsia="Times New Roman" w:cs="Calibri"/>
          <w:b/>
          <w:bCs/>
          <w:u w:val="single"/>
          <w:lang w:eastAsia="cs-CZ"/>
          <w14:ligatures w14:val="none"/>
        </w:rPr>
        <w:t xml:space="preserve">BIOREP study group</w:t>
      </w:r>
      <w:r>
        <w:rPr>
          <w:rFonts w:ascii="Calibri" w:hAnsi="Calibri" w:eastAsia="Times New Roman" w:cs="Calibri"/>
          <w:b/>
          <w:bCs/>
          <w:lang w:eastAsia="cs-CZ"/>
          <w14:ligatures w14:val="none"/>
        </w:rPr>
        <w:t xml:space="preserve">. </w:t>
      </w:r>
      <w:r>
        <w:rPr>
          <w:rFonts w:ascii="Calibri" w:hAnsi="Calibri" w:eastAsia="Times New Roman" w:cs="Calibri"/>
          <w:b/>
          <w:bCs/>
          <w:color w:val="3a7c22" w:themeColor="accent6" w:themeShade="BF"/>
          <w:lang w:eastAsia="cs-CZ"/>
          <w14:ligatures w14:val="none"/>
        </w:rPr>
        <w:t xml:space="preserve">Risankizumab for the Treatment of Moderate-to-Severe Psoriasis: Real-Life Multicenter Experience from the Czech Republic. </w:t>
      </w:r>
      <w:r>
        <w:rPr>
          <w:rFonts w:ascii="Calibri" w:hAnsi="Calibri" w:eastAsia="Times New Roman" w:cs="Calibri"/>
          <w:b/>
          <w:bCs/>
          <w:lang w:eastAsia="cs-CZ"/>
          <w14:ligatures w14:val="none"/>
        </w:rPr>
        <w:t xml:space="preserve">Dermatol Ther (Heidelb). 2021 (5), pp. 1–11.</w:t>
      </w:r>
      <w:r>
        <w:rPr>
          <w:rFonts w:ascii="Calibri" w:hAnsi="Calibri" w:eastAsia="Times New Roman" w:cs="Calibri"/>
          <w:b/>
          <w:bCs/>
          <w:lang w:eastAsia="cs-CZ"/>
          <w14:ligatures w14:val="none"/>
        </w:rPr>
      </w:r>
    </w:p>
    <w:p w14:paraId="66EAC1F7" w14:textId="7BD29F46">
      <w:pPr>
        <w:numPr>
          <w:ilvl w:val="0"/>
          <w:numId w:val="1"/>
        </w:numPr>
        <w:pBdr/>
        <w:shd w:val="clear" w:color="auto" w:fill="ffffff"/>
        <w:spacing w:after="120" w:beforeAutospacing="1" w:line="240" w:lineRule="auto"/>
        <w:ind/>
        <w:rPr>
          <w:rFonts w:ascii="Calibri" w:hAnsi="Calibri" w:eastAsia="Times New Roman" w:cs="Calibri"/>
          <w:i/>
          <w:iCs/>
          <w:lang w:eastAsia="cs-CZ"/>
          <w14:ligatures w14:val="none"/>
        </w:rPr>
      </w:pPr>
      <w:r>
        <w:rPr>
          <w:rFonts w:ascii="Calibri" w:hAnsi="Calibri" w:eastAsia="Times New Roman" w:cs="Calibri"/>
          <w:i/>
          <w:iCs/>
          <w:lang w:eastAsia="cs-CZ"/>
          <w14:ligatures w14:val="none"/>
        </w:rPr>
        <w:t xml:space="preserve">Kojanova M, Velackova B, Gkalpakiotis S, Cetkovska P, Fialová J, Dolezal T, Hansen JB, Apol E and the BIOREP study group. </w:t>
      </w:r>
      <w:r>
        <w:rPr>
          <w:rFonts w:ascii="Calibri" w:hAnsi="Calibri" w:eastAsia="Times New Roman" w:cs="Calibri"/>
          <w:i/>
          <w:iCs/>
          <w:color w:val="3a7c22" w:themeColor="accent6" w:themeShade="BF"/>
          <w:lang w:eastAsia="cs-CZ"/>
          <w14:ligatures w14:val="none"/>
        </w:rPr>
        <w:t xml:space="preserve">Demographics, comorbidities and treatment history for patients with moderate to severe plaque psoriasis initiating brodalumab – An observational study using secondary data from the BIOREP registry. </w:t>
      </w:r>
      <w:r>
        <w:rPr>
          <w:rFonts w:ascii="Calibri" w:hAnsi="Calibri" w:eastAsia="Times New Roman" w:cs="Calibri"/>
          <w:i/>
          <w:iCs/>
          <w:lang w:eastAsia="cs-CZ"/>
          <w14:ligatures w14:val="none"/>
        </w:rPr>
        <w:t xml:space="preserve">Poster 0365; European Academy of Dermatology and Venereology’s 30th Anniversary Congress, 29 Sept – 2 Oct 2021</w:t>
      </w:r>
      <w:r>
        <w:rPr>
          <w:rFonts w:ascii="Calibri" w:hAnsi="Calibri" w:eastAsia="Times New Roman" w:cs="Calibri"/>
          <w:i/>
          <w:iCs/>
          <w:lang w:eastAsia="cs-CZ"/>
          <w14:ligatures w14:val="none"/>
        </w:rPr>
      </w:r>
    </w:p>
    <w:p w14:paraId="346CF9B8" w14:textId="4E9FF040">
      <w:pPr>
        <w:numPr>
          <w:ilvl w:val="0"/>
          <w:numId w:val="1"/>
        </w:numPr>
        <w:pBdr/>
        <w:shd w:val="clear" w:color="auto" w:fill="ffffff"/>
        <w:spacing w:after="120" w:beforeAutospacing="1" w:line="240" w:lineRule="auto"/>
        <w:ind/>
        <w:rPr>
          <w:rFonts w:ascii="Calibri" w:hAnsi="Calibri" w:eastAsia="Times New Roman" w:cs="Calibri"/>
          <w:i/>
          <w:iCs/>
          <w:lang w:eastAsia="cs-CZ"/>
          <w14:ligatures w14:val="none"/>
        </w:rPr>
      </w:pPr>
      <w:r>
        <w:rPr>
          <w:rFonts w:ascii="Calibri" w:hAnsi="Calibri" w:eastAsia="Times New Roman" w:cs="Calibri"/>
          <w:i/>
          <w:iCs/>
          <w:lang w:eastAsia="cs-CZ"/>
          <w14:ligatures w14:val="none"/>
        </w:rPr>
        <w:t xml:space="preserve">Kojanova M, Velackova B, Gkalpakiotis S, Cetkovska P, Fialová J, Dolezal T, Hansen JB, Apol E and the BIOREP study group. </w:t>
      </w:r>
      <w:r>
        <w:rPr>
          <w:rFonts w:ascii="Calibri" w:hAnsi="Calibri" w:eastAsia="Times New Roman" w:cs="Calibri"/>
          <w:i/>
          <w:iCs/>
          <w:color w:val="3a7c22" w:themeColor="accent6" w:themeShade="BF"/>
          <w:lang w:eastAsia="cs-CZ"/>
          <w14:ligatures w14:val="none"/>
        </w:rPr>
        <w:t xml:space="preserve">Real-world effectiveness of brodalumab in patients with moderate to severe plaque psoriasis – An observational study using secondary data from the BIOREP registry.</w:t>
      </w:r>
      <w:r>
        <w:rPr>
          <w:rFonts w:ascii="Calibri" w:hAnsi="Calibri" w:eastAsia="Times New Roman" w:cs="Calibri"/>
          <w:i/>
          <w:iCs/>
          <w:color w:val="3a7c22" w:themeColor="accent6" w:themeShade="BF"/>
          <w:lang w:eastAsia="cs-CZ"/>
          <w14:ligatures w14:val="none"/>
        </w:rPr>
        <w:t xml:space="preserve"> </w:t>
      </w:r>
      <w:r>
        <w:rPr>
          <w:rFonts w:ascii="Calibri" w:hAnsi="Calibri" w:eastAsia="Times New Roman" w:cs="Calibri"/>
          <w:i/>
          <w:iCs/>
          <w:lang w:eastAsia="cs-CZ"/>
          <w14:ligatures w14:val="none"/>
        </w:rPr>
        <w:t xml:space="preserve">Poster 0366; European Academy of Dermatology and Venereology’s 30th Anniversary Congress, 29 Sept – 2 Oct 2021</w:t>
      </w:r>
      <w:r>
        <w:rPr>
          <w:rFonts w:ascii="Calibri" w:hAnsi="Calibri" w:eastAsia="Times New Roman" w:cs="Calibri"/>
          <w:i/>
          <w:iCs/>
          <w:lang w:eastAsia="cs-CZ"/>
          <w14:ligatures w14:val="none"/>
        </w:rPr>
        <w:t xml:space="preserve">.</w:t>
      </w:r>
      <w:r>
        <w:rPr>
          <w:rFonts w:ascii="Calibri" w:hAnsi="Calibri" w:eastAsia="Times New Roman" w:cs="Calibri"/>
          <w:i/>
          <w:iCs/>
          <w:lang w:eastAsia="cs-CZ"/>
          <w14:ligatures w14:val="none"/>
        </w:rPr>
      </w:r>
    </w:p>
    <w:p w14:paraId="525E7EA3" w14:textId="692D4077">
      <w:pPr>
        <w:numPr>
          <w:ilvl w:val="0"/>
          <w:numId w:val="1"/>
        </w:numPr>
        <w:pBdr/>
        <w:shd w:val="clear" w:color="auto" w:fill="ffffff"/>
        <w:spacing w:after="120" w:beforeAutospacing="1" w:line="240" w:lineRule="auto"/>
        <w:ind/>
        <w:rPr>
          <w:rFonts w:ascii="Calibri" w:hAnsi="Calibri" w:eastAsia="Times New Roman" w:cs="Calibri"/>
          <w:i/>
          <w:iCs/>
          <w:lang w:eastAsia="cs-CZ"/>
          <w14:ligatures w14:val="none"/>
        </w:rPr>
      </w:pPr>
      <w:r>
        <w:rPr>
          <w:rFonts w:ascii="Calibri" w:hAnsi="Calibri" w:eastAsia="Times New Roman" w:cs="Calibri"/>
          <w:i/>
          <w:iCs/>
          <w:lang w:eastAsia="cs-CZ"/>
          <w14:ligatures w14:val="none"/>
        </w:rPr>
        <w:t xml:space="preserve">Kojanova M, Velackova B, Gkalpakiotis S, Cetkovska P, Fialová J, Dolezal T, Hansen JB, Apol E and the BIOREP study group. </w:t>
      </w:r>
      <w:r>
        <w:rPr>
          <w:rFonts w:ascii="Calibri" w:hAnsi="Calibri" w:eastAsia="Times New Roman" w:cs="Calibri"/>
          <w:i/>
          <w:iCs/>
          <w:color w:val="3a7c22" w:themeColor="accent6" w:themeShade="BF"/>
          <w:lang w:eastAsia="cs-CZ"/>
          <w14:ligatures w14:val="none"/>
        </w:rPr>
        <w:t xml:space="preserve">Drug survival in patients with moderate to severe plaque psoriasis treated with brodalumab – An observational study using secondary data from the BIOREP registry. </w:t>
      </w:r>
      <w:r>
        <w:rPr>
          <w:rFonts w:ascii="Calibri" w:hAnsi="Calibri" w:eastAsia="Times New Roman" w:cs="Calibri"/>
          <w:i/>
          <w:iCs/>
          <w:lang w:eastAsia="cs-CZ"/>
          <w14:ligatures w14:val="none"/>
        </w:rPr>
        <w:t xml:space="preserve">Poster 0367; European Academy of Dermatology and Venereology’s 30th Anniversary Congress, 29 Sept – 2 Oct 2021</w:t>
      </w:r>
      <w:r>
        <w:rPr>
          <w:rFonts w:ascii="Calibri" w:hAnsi="Calibri" w:eastAsia="Times New Roman" w:cs="Calibri"/>
          <w:i/>
          <w:iCs/>
          <w:lang w:eastAsia="cs-CZ"/>
          <w14:ligatures w14:val="none"/>
        </w:rPr>
        <w:t xml:space="preserve">.</w:t>
      </w:r>
      <w:r>
        <w:rPr>
          <w:rFonts w:ascii="Calibri" w:hAnsi="Calibri" w:eastAsia="Times New Roman" w:cs="Calibri"/>
          <w:i/>
          <w:iCs/>
          <w:lang w:eastAsia="cs-CZ"/>
          <w14:ligatures w14:val="none"/>
        </w:rPr>
      </w:r>
    </w:p>
    <w:p w14:paraId="6629CE8A" w14:textId="77777777">
      <w:pPr>
        <w:numPr>
          <w:ilvl w:val="0"/>
          <w:numId w:val="1"/>
        </w:numPr>
        <w:pBdr/>
        <w:shd w:val="clear" w:color="auto" w:fill="ffffff"/>
        <w:spacing w:after="120" w:beforeAutospacing="1" w:line="240" w:lineRule="auto"/>
        <w:ind/>
        <w:rPr>
          <w:rFonts w:ascii="Calibri" w:hAnsi="Calibri" w:eastAsia="Times New Roman" w:cs="Calibri"/>
          <w:lang w:eastAsia="cs-CZ"/>
          <w14:ligatures w14:val="none"/>
        </w:rPr>
      </w:pPr>
      <w:r>
        <w:rPr>
          <w:rFonts w:ascii="Calibri" w:hAnsi="Calibri" w:eastAsia="Times New Roman" w:cs="Calibri"/>
          <w:lang w:eastAsia="cs-CZ"/>
          <w14:ligatures w14:val="none"/>
        </w:rPr>
        <w:t xml:space="preserve">Kojanová M, Fialová J, Cetkovská P, Gkalpakiotis S, Štork J, Machovcová A, Doležal T, Štrosová D. a </w:t>
      </w:r>
      <w:r>
        <w:rPr>
          <w:rFonts w:ascii="Calibri" w:hAnsi="Calibri" w:eastAsia="Times New Roman" w:cs="Calibri"/>
          <w:u w:val="single"/>
          <w:lang w:eastAsia="cs-CZ"/>
          <w14:ligatures w14:val="none"/>
        </w:rPr>
        <w:t xml:space="preserve">skupina BIOREP-AD. </w:t>
      </w:r>
      <w:r>
        <w:rPr>
          <w:rFonts w:ascii="Calibri" w:hAnsi="Calibri" w:eastAsia="Times New Roman" w:cs="Calibri"/>
          <w:color w:val="3a7c22" w:themeColor="accent6" w:themeShade="BF"/>
          <w:lang w:eastAsia="cs-CZ"/>
          <w14:ligatures w14:val="none"/>
        </w:rPr>
        <w:t xml:space="preserve">Atopická dermatitida v registru BIOREP. </w:t>
      </w:r>
      <w:r>
        <w:rPr>
          <w:rFonts w:ascii="Calibri" w:hAnsi="Calibri" w:eastAsia="Times New Roman" w:cs="Calibri"/>
          <w:lang w:eastAsia="cs-CZ"/>
          <w14:ligatures w14:val="none"/>
        </w:rPr>
        <w:t xml:space="preserve">Česko-slovenská dermatol., 2021, roč. 96, č. 3, s. 134-141.</w:t>
      </w:r>
      <w:r>
        <w:rPr>
          <w:rFonts w:ascii="Calibri" w:hAnsi="Calibri" w:eastAsia="Times New Roman" w:cs="Calibri"/>
          <w:lang w:eastAsia="cs-CZ"/>
          <w14:ligatures w14:val="none"/>
        </w:rPr>
      </w:r>
    </w:p>
    <w:p w14:paraId="6CE57426" w14:textId="77777777">
      <w:pPr>
        <w:numPr>
          <w:ilvl w:val="0"/>
          <w:numId w:val="1"/>
        </w:numPr>
        <w:pBdr/>
        <w:shd w:val="clear" w:color="auto" w:fill="ffffff"/>
        <w:spacing w:after="120" w:beforeAutospacing="1" w:line="240" w:lineRule="auto"/>
        <w:ind/>
        <w:rPr>
          <w:rFonts w:ascii="Calibri" w:hAnsi="Calibri" w:eastAsia="Times New Roman" w:cs="Calibri"/>
          <w:lang w:eastAsia="cs-CZ"/>
          <w14:ligatures w14:val="none"/>
        </w:rPr>
      </w:pPr>
      <w:r>
        <w:rPr>
          <w:rFonts w:ascii="Calibri" w:hAnsi="Calibri" w:eastAsia="Times New Roman" w:cs="Calibri"/>
          <w:lang w:eastAsia="cs-CZ"/>
          <w14:ligatures w14:val="none"/>
        </w:rPr>
        <w:t xml:space="preserve">Kojanová M, Fialová J, Cetkovská P, Gkalpakiotis S, Štork J, Arenberger P, Machovcová A, Doležal T, Štrosová D, Velacková B. a </w:t>
      </w:r>
      <w:r>
        <w:rPr>
          <w:rFonts w:ascii="Calibri" w:hAnsi="Calibri" w:eastAsia="Times New Roman" w:cs="Calibri"/>
          <w:u w:val="single"/>
          <w:lang w:eastAsia="cs-CZ"/>
          <w14:ligatures w14:val="none"/>
        </w:rPr>
        <w:t xml:space="preserve">skupina BIOREP.</w:t>
      </w:r>
      <w:r>
        <w:rPr>
          <w:rFonts w:ascii="Calibri" w:hAnsi="Calibri" w:eastAsia="Times New Roman" w:cs="Calibri"/>
          <w:lang w:eastAsia="cs-CZ"/>
          <w14:ligatures w14:val="none"/>
        </w:rPr>
        <w:t xml:space="preserve"> </w:t>
      </w:r>
      <w:r>
        <w:rPr>
          <w:rFonts w:ascii="Calibri" w:hAnsi="Calibri" w:eastAsia="Times New Roman" w:cs="Calibri"/>
          <w:color w:val="3a7c22" w:themeColor="accent6" w:themeShade="BF"/>
          <w:lang w:eastAsia="cs-CZ"/>
          <w14:ligatures w14:val="none"/>
        </w:rPr>
        <w:t xml:space="preserve">Účinnost biologické léčby středně těžké až těžké psoriázy - analýza z registru BIOREP. </w:t>
      </w:r>
      <w:r>
        <w:rPr>
          <w:rFonts w:ascii="Calibri" w:hAnsi="Calibri" w:eastAsia="Times New Roman" w:cs="Calibri"/>
          <w:lang w:eastAsia="cs-CZ"/>
          <w14:ligatures w14:val="none"/>
        </w:rPr>
        <w:t xml:space="preserve">Česko-slov. dermatol. 2021, roč. 96, č. 2, s. 73-79.</w:t>
      </w:r>
      <w:r>
        <w:rPr>
          <w:rFonts w:ascii="Calibri" w:hAnsi="Calibri" w:eastAsia="Times New Roman" w:cs="Calibri"/>
          <w:lang w:eastAsia="cs-CZ"/>
          <w14:ligatures w14:val="none"/>
        </w:rPr>
      </w:r>
    </w:p>
    <w:p w14:paraId="39A5C4D9" w14:textId="77777777">
      <w:pPr>
        <w:numPr>
          <w:ilvl w:val="0"/>
          <w:numId w:val="1"/>
        </w:numPr>
        <w:pBdr/>
        <w:shd w:val="clear" w:color="auto" w:fill="ffffff"/>
        <w:spacing w:after="120" w:beforeAutospacing="1" w:line="240" w:lineRule="auto"/>
        <w:ind/>
        <w:rPr>
          <w:rFonts w:ascii="Calibri" w:hAnsi="Calibri" w:eastAsia="Times New Roman" w:cs="Calibri"/>
          <w:b/>
          <w:bCs/>
          <w:lang w:eastAsia="cs-CZ"/>
          <w14:ligatures w14:val="none"/>
        </w:rPr>
      </w:pPr>
      <w:r>
        <w:rPr>
          <w:rFonts w:ascii="Calibri" w:hAnsi="Calibri" w:eastAsia="Times New Roman" w:cs="Calibri"/>
          <w:b/>
          <w:bCs/>
          <w:lang w:eastAsia="cs-CZ"/>
          <w14:ligatures w14:val="none"/>
        </w:rPr>
        <w:t xml:space="preserve">Kojanova M, Fialova J, Cetkovska P, Dolezal T, Lomicova I, Arenberger P, Gkalpakiotis S; </w:t>
      </w:r>
      <w:r>
        <w:rPr>
          <w:rFonts w:ascii="Calibri" w:hAnsi="Calibri" w:eastAsia="Times New Roman" w:cs="Calibri"/>
          <w:b/>
          <w:bCs/>
          <w:u w:val="single"/>
          <w:lang w:eastAsia="cs-CZ"/>
          <w14:ligatures w14:val="none"/>
        </w:rPr>
        <w:t xml:space="preserve">BIOREP Study Group</w:t>
      </w:r>
      <w:r>
        <w:rPr>
          <w:rFonts w:ascii="Calibri" w:hAnsi="Calibri" w:eastAsia="Times New Roman" w:cs="Calibri"/>
          <w:b/>
          <w:bCs/>
          <w:lang w:eastAsia="cs-CZ"/>
          <w14:ligatures w14:val="none"/>
        </w:rPr>
        <w:t xml:space="preserve">. </w:t>
      </w:r>
      <w:r>
        <w:rPr>
          <w:rFonts w:ascii="Calibri" w:hAnsi="Calibri" w:eastAsia="Times New Roman" w:cs="Calibri"/>
          <w:b/>
          <w:bCs/>
          <w:color w:val="3a7c22" w:themeColor="accent6" w:themeShade="BF"/>
          <w:lang w:eastAsia="cs-CZ"/>
          <w14:ligatures w14:val="none"/>
        </w:rPr>
        <w:t xml:space="preserve">Demographic data, comorbidities, quality of life, and survival probability of biologic therapy associated with sexspecific differences in psoriasis in the Czech Republic. </w:t>
      </w:r>
      <w:r>
        <w:rPr>
          <w:rFonts w:ascii="Calibri" w:hAnsi="Calibri" w:eastAsia="Times New Roman" w:cs="Calibri"/>
          <w:b/>
          <w:bCs/>
          <w:lang w:eastAsia="cs-CZ"/>
          <w14:ligatures w14:val="none"/>
        </w:rPr>
        <w:t xml:space="preserve">Dermatologic Therapy. 2021;e14849. </w:t>
      </w:r>
      <w:r>
        <w:rPr>
          <w:rFonts w:ascii="Calibri" w:hAnsi="Calibri" w:eastAsia="Times New Roman" w:cs="Calibri"/>
          <w:b/>
          <w:bCs/>
          <w:lang w:eastAsia="cs-CZ"/>
          <w14:ligatures w14:val="none"/>
        </w:rPr>
      </w:r>
    </w:p>
    <w:p w14:paraId="277D9A2A" w14:textId="77777777">
      <w:pPr>
        <w:numPr>
          <w:ilvl w:val="0"/>
          <w:numId w:val="1"/>
        </w:numPr>
        <w:pBdr/>
        <w:shd w:val="clear" w:color="auto" w:fill="ffffff"/>
        <w:spacing w:after="120" w:beforeAutospacing="1" w:line="240" w:lineRule="auto"/>
        <w:ind/>
        <w:rPr>
          <w:rFonts w:ascii="Calibri" w:hAnsi="Calibri" w:eastAsia="Times New Roman" w:cs="Calibri"/>
          <w:b/>
          <w:bCs/>
          <w:lang w:eastAsia="cs-CZ"/>
          <w14:ligatures w14:val="none"/>
        </w:rPr>
      </w:pPr>
      <w:r>
        <w:rPr>
          <w:rFonts w:ascii="Calibri" w:hAnsi="Calibri" w:eastAsia="Times New Roman" w:cs="Calibri"/>
          <w:b/>
          <w:bCs/>
          <w:lang w:eastAsia="cs-CZ"/>
          <w14:ligatures w14:val="none"/>
        </w:rPr>
        <w:t xml:space="preserve">Kojanova M, Cetkovska P, Strosova D, Fialova J, Arenberger P, Dolezal T, Gkalpakiotis S; </w:t>
      </w:r>
      <w:r>
        <w:rPr>
          <w:rFonts w:ascii="Calibri" w:hAnsi="Calibri" w:eastAsia="Times New Roman" w:cs="Calibri"/>
          <w:b/>
          <w:bCs/>
          <w:u w:val="single"/>
          <w:lang w:eastAsia="cs-CZ"/>
          <w14:ligatures w14:val="none"/>
        </w:rPr>
        <w:t xml:space="preserve">BIOREP Study Group</w:t>
      </w:r>
      <w:r>
        <w:rPr>
          <w:rFonts w:ascii="Calibri" w:hAnsi="Calibri" w:eastAsia="Times New Roman" w:cs="Calibri"/>
          <w:b/>
          <w:bCs/>
          <w:color w:val="3a7c22" w:themeColor="accent6" w:themeShade="BF"/>
          <w:lang w:eastAsia="cs-CZ"/>
          <w14:ligatures w14:val="none"/>
        </w:rPr>
        <w:t xml:space="preserve">. Real-World Evidence From More Than 1000 Patients Treated With Adalimumab For Moderate-to-Severe Psoriasis in the Czech Republic. </w:t>
      </w:r>
      <w:r>
        <w:rPr>
          <w:rFonts w:ascii="Calibri" w:hAnsi="Calibri" w:eastAsia="Times New Roman" w:cs="Calibri"/>
          <w:b/>
          <w:bCs/>
          <w:lang w:eastAsia="cs-CZ"/>
          <w14:ligatures w14:val="none"/>
        </w:rPr>
        <w:t xml:space="preserve">Dermatology and Therapy, 2021, 11(2), pp. 543–553.</w:t>
      </w:r>
      <w:r>
        <w:rPr>
          <w:rFonts w:ascii="Calibri" w:hAnsi="Calibri" w:eastAsia="Times New Roman" w:cs="Calibri"/>
          <w:b/>
          <w:bCs/>
          <w:lang w:eastAsia="cs-CZ"/>
          <w14:ligatures w14:val="none"/>
        </w:rPr>
      </w:r>
    </w:p>
    <w:p w14:paraId="1890153A" w14:textId="585B9C4B">
      <w:pPr>
        <w:numPr>
          <w:ilvl w:val="0"/>
          <w:numId w:val="1"/>
        </w:numPr>
        <w:pBdr/>
        <w:shd w:val="clear" w:color="auto" w:fill="ffffff"/>
        <w:spacing w:after="120" w:beforeAutospacing="1" w:line="240" w:lineRule="auto"/>
        <w:ind/>
        <w:rPr>
          <w:rFonts w:ascii="Calibri" w:hAnsi="Calibri" w:eastAsia="Times New Roman" w:cs="Calibri"/>
          <w:lang w:eastAsia="cs-CZ"/>
          <w14:ligatures w14:val="none"/>
        </w:rPr>
      </w:pPr>
      <w:r>
        <w:rPr>
          <w:rFonts w:ascii="Calibri" w:hAnsi="Calibri" w:eastAsia="Times New Roman" w:cs="Calibri"/>
          <w:lang w:eastAsia="cs-CZ"/>
          <w14:ligatures w14:val="none"/>
        </w:rPr>
        <w:t xml:space="preserve">Kojanová M., Fialová J., Gkalpakiotis S., Cetkovská P., Štork J., Arenberger P., Machovcová A., Doležal T., Velacková B. a </w:t>
      </w:r>
      <w:r>
        <w:rPr>
          <w:rFonts w:ascii="Calibri" w:hAnsi="Calibri" w:eastAsia="Times New Roman" w:cs="Calibri"/>
          <w:u w:val="single"/>
          <w:lang w:eastAsia="cs-CZ"/>
          <w14:ligatures w14:val="none"/>
        </w:rPr>
        <w:t xml:space="preserve">skupina BIOREP</w:t>
      </w:r>
      <w:r>
        <w:rPr>
          <w:rFonts w:ascii="Calibri" w:hAnsi="Calibri" w:eastAsia="Times New Roman" w:cs="Calibri"/>
          <w:lang w:eastAsia="cs-CZ"/>
          <w14:ligatures w14:val="none"/>
        </w:rPr>
        <w:t xml:space="preserve">. </w:t>
      </w:r>
      <w:r>
        <w:rPr>
          <w:rFonts w:ascii="Calibri" w:hAnsi="Calibri" w:eastAsia="Times New Roman" w:cs="Calibri"/>
          <w:color w:val="3a7c22" w:themeColor="accent6" w:themeShade="BF"/>
          <w:lang w:eastAsia="cs-CZ"/>
          <w14:ligatures w14:val="none"/>
        </w:rPr>
        <w:t xml:space="preserve">Registr biologické/cílené léčby BIOREP - souhrnná zpráva za rok 2020.</w:t>
      </w:r>
      <w:r>
        <w:rPr>
          <w:rFonts w:ascii="Calibri" w:hAnsi="Calibri" w:eastAsia="Times New Roman" w:cs="Calibri"/>
          <w:color w:val="3a7c22" w:themeColor="accent6" w:themeShade="BF"/>
          <w:lang w:eastAsia="cs-CZ"/>
          <w14:ligatures w14:val="none"/>
        </w:rPr>
        <w:t xml:space="preserve"> </w:t>
      </w:r>
      <w:r>
        <w:rPr>
          <w:rFonts w:ascii="Calibri" w:hAnsi="Calibri" w:eastAsia="Times New Roman" w:cs="Calibri"/>
          <w:lang w:eastAsia="cs-CZ"/>
          <w14:ligatures w14:val="none"/>
        </w:rPr>
        <w:t xml:space="preserve">Čes-slov Derm </w:t>
      </w:r>
      <w:r>
        <w:rPr>
          <w:rFonts w:ascii="Calibri" w:hAnsi="Calibri" w:eastAsia="Times New Roman" w:cs="Calibri"/>
          <w:lang w:eastAsia="cs-CZ"/>
          <w14:ligatures w14:val="none"/>
        </w:rPr>
        <w:t xml:space="preserve">2021</w:t>
      </w:r>
      <w:r>
        <w:rPr>
          <w:rFonts w:ascii="Calibri" w:hAnsi="Calibri" w:eastAsia="Times New Roman" w:cs="Calibri"/>
          <w:lang w:eastAsia="cs-CZ"/>
          <w14:ligatures w14:val="none"/>
        </w:rPr>
        <w:t xml:space="preserve">,</w:t>
      </w:r>
      <w:r>
        <w:rPr>
          <w:rFonts w:ascii="Calibri" w:hAnsi="Calibri" w:eastAsia="Times New Roman" w:cs="Calibri"/>
          <w:lang w:eastAsia="cs-CZ"/>
          <w14:ligatures w14:val="none"/>
        </w:rPr>
        <w:t xml:space="preserve"> 96(1), pp. 17–34.</w:t>
      </w:r>
      <w:r>
        <w:rPr>
          <w:rFonts w:ascii="Calibri" w:hAnsi="Calibri" w:eastAsia="Times New Roman" w:cs="Calibri"/>
          <w:lang w:eastAsia="cs-CZ"/>
          <w14:ligatures w14:val="none"/>
        </w:rPr>
      </w:r>
    </w:p>
    <w:p w14:paraId="6A8B0EFC" w14:textId="6855F48B">
      <w:pPr>
        <w:numPr>
          <w:ilvl w:val="0"/>
          <w:numId w:val="1"/>
        </w:numPr>
        <w:pBdr/>
        <w:shd w:val="clear" w:color="auto" w:fill="ffffff"/>
        <w:spacing w:after="120" w:beforeAutospacing="1" w:line="240" w:lineRule="auto"/>
        <w:ind/>
        <w:rPr>
          <w:rFonts w:ascii="Calibri" w:hAnsi="Calibri" w:eastAsia="Times New Roman" w:cs="Calibri"/>
          <w:lang w:eastAsia="cs-CZ"/>
          <w14:ligatures w14:val="none"/>
        </w:rPr>
      </w:pPr>
      <w:r>
        <w:rPr>
          <w:rFonts w:ascii="Calibri" w:hAnsi="Calibri" w:eastAsia="Times New Roman" w:cs="Calibri"/>
          <w:lang w:eastAsia="cs-CZ"/>
          <w14:ligatures w14:val="none"/>
        </w:rPr>
        <w:t xml:space="preserve">Kojanová, M., Cetkovská, P., Fialová, J., Štork, J., Gkalpakiotis, S., Arenberger, P., Machovcová, A., Doležal, T</w:t>
      </w:r>
      <w:r>
        <w:rPr>
          <w:rFonts w:ascii="Calibri" w:hAnsi="Calibri" w:eastAsia="Times New Roman" w:cs="Calibri"/>
          <w:lang w:eastAsia="cs-CZ"/>
          <w14:ligatures w14:val="none"/>
        </w:rPr>
        <w:t xml:space="preserve">., </w:t>
      </w:r>
      <w:r>
        <w:rPr>
          <w:rFonts w:ascii="Calibri" w:hAnsi="Calibri" w:eastAsia="Times New Roman" w:cs="Calibri"/>
          <w:u w:val="single"/>
          <w:lang w:eastAsia="cs-CZ"/>
          <w14:ligatures w14:val="none"/>
        </w:rPr>
        <w:t xml:space="preserve">a skupina BIOREP</w:t>
      </w:r>
      <w:r>
        <w:rPr>
          <w:rFonts w:ascii="Calibri" w:hAnsi="Calibri" w:eastAsia="Times New Roman" w:cs="Calibri"/>
          <w:lang w:eastAsia="cs-CZ"/>
          <w14:ligatures w14:val="none"/>
        </w:rPr>
        <w:t xml:space="preserve">.</w:t>
      </w:r>
      <w:r>
        <w:rPr>
          <w:rFonts w:ascii="Calibri" w:hAnsi="Calibri" w:eastAsia="Times New Roman" w:cs="Calibri"/>
          <w:lang w:eastAsia="cs-CZ"/>
          <w14:ligatures w14:val="none"/>
        </w:rPr>
        <w:t xml:space="preserve"> </w:t>
      </w:r>
      <w:r>
        <w:rPr>
          <w:rFonts w:ascii="Calibri" w:hAnsi="Calibri" w:eastAsia="Times New Roman" w:cs="Calibri"/>
          <w:color w:val="3a7c22" w:themeColor="accent6" w:themeShade="BF"/>
          <w:lang w:eastAsia="cs-CZ"/>
          <w14:ligatures w14:val="none"/>
        </w:rPr>
        <w:t xml:space="preserve">Registr biologické/cílené léčby BIOREP - souhrnná zpráva za rok 2019</w:t>
      </w:r>
      <w:r>
        <w:rPr>
          <w:rFonts w:ascii="Calibri" w:hAnsi="Calibri" w:eastAsia="Times New Roman" w:cs="Calibri"/>
          <w:color w:val="3a7c22" w:themeColor="accent6" w:themeShade="BF"/>
          <w:lang w:eastAsia="cs-CZ"/>
          <w14:ligatures w14:val="none"/>
        </w:rPr>
        <w:t xml:space="preserve">. </w:t>
      </w:r>
      <w:r>
        <w:rPr>
          <w:rFonts w:ascii="Calibri" w:hAnsi="Calibri" w:eastAsia="Times New Roman" w:cs="Calibri"/>
          <w:lang w:eastAsia="cs-CZ"/>
          <w14:ligatures w14:val="none"/>
        </w:rPr>
        <w:t xml:space="preserve">Čes-slov Derm, </w:t>
      </w:r>
      <w:r>
        <w:rPr>
          <w:rFonts w:ascii="Calibri" w:hAnsi="Calibri" w:eastAsia="Times New Roman" w:cs="Calibri"/>
          <w:lang w:eastAsia="cs-CZ"/>
          <w14:ligatures w14:val="none"/>
        </w:rPr>
        <w:t xml:space="preserve">2020</w:t>
      </w:r>
      <w:r>
        <w:rPr>
          <w:rFonts w:ascii="Calibri" w:hAnsi="Calibri" w:eastAsia="Times New Roman" w:cs="Calibri"/>
          <w:lang w:eastAsia="cs-CZ"/>
          <w14:ligatures w14:val="none"/>
        </w:rPr>
        <w:t xml:space="preserve">, </w:t>
      </w:r>
      <w:r>
        <w:rPr>
          <w:rFonts w:ascii="Calibri" w:hAnsi="Calibri" w:eastAsia="Times New Roman" w:cs="Calibri"/>
          <w:lang w:eastAsia="cs-CZ"/>
          <w14:ligatures w14:val="none"/>
        </w:rPr>
        <w:t xml:space="preserve">95 (1), pp. 16-22. </w:t>
      </w:r>
      <w:r>
        <w:rPr>
          <w:rFonts w:ascii="Calibri" w:hAnsi="Calibri" w:eastAsia="Times New Roman" w:cs="Calibri"/>
          <w:lang w:eastAsia="cs-CZ"/>
          <w14:ligatures w14:val="none"/>
        </w:rPr>
      </w:r>
    </w:p>
    <w:p w14:paraId="73CACD3C" w14:textId="004328EB">
      <w:pPr>
        <w:numPr>
          <w:ilvl w:val="0"/>
          <w:numId w:val="1"/>
        </w:numPr>
        <w:pBdr/>
        <w:shd w:val="clear" w:color="auto" w:fill="ffffff"/>
        <w:spacing w:after="120" w:beforeAutospacing="1" w:line="240" w:lineRule="auto"/>
        <w:ind/>
        <w:rPr>
          <w:rFonts w:ascii="Calibri" w:hAnsi="Calibri" w:eastAsia="Times New Roman" w:cs="Calibri"/>
          <w:b/>
          <w:bCs/>
          <w:lang w:eastAsia="cs-CZ"/>
          <w14:ligatures w14:val="none"/>
        </w:rPr>
      </w:pPr>
      <w:r>
        <w:rPr>
          <w:rFonts w:ascii="Calibri" w:hAnsi="Calibri" w:eastAsia="Times New Roman" w:cs="Calibri"/>
          <w:b/>
          <w:bCs/>
          <w:lang w:eastAsia="cs-CZ"/>
          <w14:ligatures w14:val="none"/>
        </w:rPr>
        <w:t xml:space="preserve">Busard, C.I., Cohen, A.D., Wolf, P., Gkalpakiotis, S., Cazzaniga, S., Stern, R.S., Hutten, B.A., Feldhamer, I., Quehenberger, F., Lichem, R., Kojanova, M., Adenubiova, E., Addis, A., Naldi, L., Spuls, P.I. </w:t>
      </w:r>
      <w:r>
        <w:rPr>
          <w:rFonts w:ascii="Calibri" w:hAnsi="Calibri" w:eastAsia="Times New Roman" w:cs="Calibri"/>
          <w:b/>
          <w:bCs/>
          <w:color w:val="3a7c22" w:themeColor="accent6" w:themeShade="BF"/>
          <w:lang w:eastAsia="cs-CZ"/>
          <w14:ligatures w14:val="none"/>
        </w:rPr>
        <w:t xml:space="preserve">Biologics combined with conventional systemic agents or phototherapy for the treatment of psoriasis: real-life data from PSONET registries.</w:t>
      </w:r>
      <w:r>
        <w:rPr>
          <w:rFonts w:ascii="Calibri" w:hAnsi="Calibri" w:eastAsia="Times New Roman" w:cs="Calibri"/>
          <w:b/>
          <w:bCs/>
          <w:lang w:eastAsia="cs-CZ"/>
          <w14:ligatures w14:val="none"/>
        </w:rPr>
        <w:t xml:space="preserve"> </w:t>
      </w:r>
      <w:r>
        <w:rPr>
          <w:rFonts w:ascii="Calibri" w:hAnsi="Calibri" w:eastAsia="Times New Roman" w:cs="Calibri"/>
          <w:b/>
          <w:bCs/>
          <w:lang w:eastAsia="cs-CZ"/>
          <w14:ligatures w14:val="none"/>
        </w:rPr>
        <w:t xml:space="preserve">J Eur Acad Dermatol Venereol. </w:t>
      </w:r>
      <w:r>
        <w:rPr>
          <w:rFonts w:ascii="Calibri" w:hAnsi="Calibri" w:eastAsia="Times New Roman" w:cs="Calibri"/>
          <w:b/>
          <w:bCs/>
          <w:lang w:eastAsia="cs-CZ"/>
          <w14:ligatures w14:val="none"/>
        </w:rPr>
        <w:t xml:space="preserve">2018</w:t>
      </w:r>
      <w:r>
        <w:rPr>
          <w:rFonts w:ascii="Calibri" w:hAnsi="Calibri" w:eastAsia="Times New Roman" w:cs="Calibri"/>
          <w:b/>
          <w:bCs/>
          <w:lang w:eastAsia="cs-CZ"/>
          <w14:ligatures w14:val="none"/>
        </w:rPr>
        <w:t xml:space="preserve">, </w:t>
      </w:r>
      <w:r>
        <w:rPr>
          <w:rFonts w:ascii="Calibri" w:hAnsi="Calibri" w:eastAsia="Times New Roman" w:cs="Calibri"/>
          <w:b/>
          <w:bCs/>
          <w:lang w:eastAsia="cs-CZ"/>
          <w14:ligatures w14:val="none"/>
        </w:rPr>
        <w:t xml:space="preserve">32 (2), pp. 245-253. DOI: 10.1111/jdv.14583</w:t>
      </w:r>
      <w:r>
        <w:rPr>
          <w:rFonts w:ascii="Calibri" w:hAnsi="Calibri" w:eastAsia="Times New Roman" w:cs="Calibri"/>
          <w:b/>
          <w:bCs/>
          <w:lang w:eastAsia="cs-CZ"/>
          <w14:ligatures w14:val="none"/>
        </w:rPr>
      </w:r>
    </w:p>
    <w:p w14:paraId="46306205" w14:textId="3D74D2FE">
      <w:pPr>
        <w:numPr>
          <w:ilvl w:val="0"/>
          <w:numId w:val="1"/>
        </w:numPr>
        <w:pBdr/>
        <w:shd w:val="clear" w:color="auto" w:fill="ffffff"/>
        <w:spacing w:after="120" w:beforeAutospacing="1" w:line="240" w:lineRule="auto"/>
        <w:ind/>
        <w:rPr>
          <w:rFonts w:ascii="Calibri" w:hAnsi="Calibri" w:eastAsia="Times New Roman" w:cs="Calibri"/>
          <w:b/>
          <w:bCs/>
          <w:lang w:eastAsia="cs-CZ"/>
          <w14:ligatures w14:val="none"/>
        </w:rPr>
      </w:pPr>
      <w:r>
        <w:rPr>
          <w:rFonts w:ascii="Calibri" w:hAnsi="Calibri" w:eastAsia="Times New Roman" w:cs="Calibri"/>
          <w:b/>
          <w:bCs/>
          <w:lang w:eastAsia="cs-CZ"/>
          <w14:ligatures w14:val="none"/>
        </w:rPr>
        <w:t xml:space="preserve">Kojanova, M., Fialova, J., Cetkovska, P., Gkalpakiotis, S., Jircikova, J., Dolezal, T., Arenberger, P., </w:t>
      </w:r>
      <w:r>
        <w:rPr>
          <w:rFonts w:ascii="Calibri" w:hAnsi="Calibri" w:eastAsia="Times New Roman" w:cs="Calibri"/>
          <w:b/>
          <w:bCs/>
          <w:u w:val="single"/>
          <w:lang w:eastAsia="cs-CZ"/>
          <w14:ligatures w14:val="none"/>
        </w:rPr>
        <w:t xml:space="preserve">the BIOREP study group</w:t>
      </w:r>
      <w:r>
        <w:rPr>
          <w:rFonts w:ascii="Calibri" w:hAnsi="Calibri" w:eastAsia="Times New Roman" w:cs="Calibri"/>
          <w:b/>
          <w:bCs/>
          <w:lang w:eastAsia="cs-CZ"/>
          <w14:ligatures w14:val="none"/>
        </w:rPr>
        <w:t xml:space="preserve">. </w:t>
      </w:r>
      <w:r>
        <w:rPr>
          <w:rFonts w:ascii="Calibri" w:hAnsi="Calibri" w:eastAsia="Times New Roman" w:cs="Calibri"/>
          <w:b/>
          <w:bCs/>
          <w:color w:val="3a7c22" w:themeColor="accent6" w:themeShade="BF"/>
          <w:lang w:eastAsia="cs-CZ"/>
          <w14:ligatures w14:val="none"/>
        </w:rPr>
        <w:t xml:space="preserve">Characteristics and risk profile of psoriasis patients included in the Czech national registry BIOREP and a comparison with other registries.</w:t>
      </w:r>
      <w:r>
        <w:rPr>
          <w:rFonts w:ascii="Calibri" w:hAnsi="Calibri" w:eastAsia="Times New Roman" w:cs="Calibri"/>
          <w:b/>
          <w:bCs/>
          <w:lang w:eastAsia="cs-CZ"/>
          <w14:ligatures w14:val="none"/>
        </w:rPr>
        <w:t xml:space="preserve"> (2017) Int</w:t>
      </w:r>
      <w:r>
        <w:rPr>
          <w:rFonts w:ascii="Calibri" w:hAnsi="Calibri" w:eastAsia="Times New Roman" w:cs="Calibri"/>
          <w:b/>
          <w:bCs/>
          <w:lang w:eastAsia="cs-CZ"/>
          <w14:ligatures w14:val="none"/>
        </w:rPr>
        <w:t xml:space="preserve"> </w:t>
      </w:r>
      <w:r>
        <w:rPr>
          <w:rFonts w:ascii="Calibri" w:hAnsi="Calibri" w:eastAsia="Times New Roman" w:cs="Calibri"/>
          <w:b/>
          <w:bCs/>
          <w:lang w:eastAsia="cs-CZ"/>
          <w14:ligatures w14:val="none"/>
        </w:rPr>
        <w:t xml:space="preserve">J Dermatol</w:t>
      </w:r>
      <w:r>
        <w:rPr>
          <w:rFonts w:ascii="Calibri" w:hAnsi="Calibri" w:eastAsia="Times New Roman" w:cs="Calibri"/>
          <w:b/>
          <w:bCs/>
          <w:lang w:eastAsia="cs-CZ"/>
          <w14:ligatures w14:val="none"/>
        </w:rPr>
        <w:t xml:space="preserve">,</w:t>
      </w:r>
      <w:r>
        <w:rPr>
          <w:rFonts w:ascii="Calibri" w:hAnsi="Calibri" w:eastAsia="Times New Roman" w:cs="Calibri"/>
          <w:b/>
          <w:bCs/>
          <w:lang w:eastAsia="cs-CZ"/>
          <w14:ligatures w14:val="none"/>
        </w:rPr>
        <w:t xml:space="preserve"> 56 (4), pp. 428-434. DOI: 10.1111/ijd.13543</w:t>
      </w:r>
      <w:r>
        <w:rPr>
          <w:rFonts w:ascii="Calibri" w:hAnsi="Calibri" w:eastAsia="Times New Roman" w:cs="Calibri"/>
          <w:b/>
          <w:bCs/>
          <w:lang w:eastAsia="cs-CZ"/>
          <w14:ligatures w14:val="none"/>
        </w:rPr>
      </w:r>
    </w:p>
    <w:p w14:paraId="492D30F5" w14:textId="77777777">
      <w:pPr>
        <w:numPr>
          <w:ilvl w:val="0"/>
          <w:numId w:val="1"/>
        </w:numPr>
        <w:pBdr/>
        <w:shd w:val="clear" w:color="auto" w:fill="ffffff"/>
        <w:spacing w:after="120" w:beforeAutospacing="1" w:line="240" w:lineRule="auto"/>
        <w:ind/>
        <w:rPr>
          <w:rFonts w:ascii="Calibri" w:hAnsi="Calibri" w:eastAsia="Times New Roman" w:cs="Calibri"/>
          <w:lang w:eastAsia="cs-CZ"/>
          <w14:ligatures w14:val="none"/>
        </w:rPr>
      </w:pPr>
      <w:r>
        <w:rPr>
          <w:rFonts w:ascii="Calibri" w:hAnsi="Calibri" w:eastAsia="Times New Roman" w:cs="Calibri"/>
          <w:lang w:eastAsia="cs-CZ"/>
          <w14:ligatures w14:val="none"/>
        </w:rPr>
        <w:t xml:space="preserve">Kojanová, M. </w:t>
      </w:r>
      <w:r>
        <w:rPr>
          <w:rFonts w:ascii="Calibri" w:hAnsi="Calibri" w:eastAsia="Times New Roman" w:cs="Calibri"/>
          <w:color w:val="3a7c22" w:themeColor="accent6" w:themeShade="BF"/>
          <w:lang w:eastAsia="cs-CZ"/>
          <w14:ligatures w14:val="none"/>
        </w:rPr>
        <w:t xml:space="preserve">BIOREP - registr pro biologickou léčbu psoriázy v České republice. </w:t>
      </w:r>
      <w:r>
        <w:rPr>
          <w:rFonts w:ascii="Calibri" w:hAnsi="Calibri" w:eastAsia="Times New Roman" w:cs="Calibri"/>
          <w:lang w:eastAsia="cs-CZ"/>
          <w14:ligatures w14:val="none"/>
        </w:rPr>
        <w:t xml:space="preserve">Psoriasis news. 2017, 1 (1), pp. 13-15. ISSN 2570-6446.</w:t>
      </w:r>
      <w:r>
        <w:rPr>
          <w:rFonts w:ascii="Calibri" w:hAnsi="Calibri" w:eastAsia="Times New Roman" w:cs="Calibri"/>
          <w:lang w:eastAsia="cs-CZ"/>
          <w14:ligatures w14:val="none"/>
        </w:rPr>
      </w:r>
    </w:p>
    <w:p w14:paraId="65BC0A5B" w14:textId="13B81FF4">
      <w:pPr>
        <w:numPr>
          <w:ilvl w:val="0"/>
          <w:numId w:val="1"/>
        </w:numPr>
        <w:pBdr/>
        <w:shd w:val="clear" w:color="auto" w:fill="ffffff"/>
        <w:spacing w:after="120" w:beforeAutospacing="1" w:line="240" w:lineRule="auto"/>
        <w:ind/>
        <w:rPr>
          <w:rFonts w:ascii="Calibri" w:hAnsi="Calibri" w:eastAsia="Times New Roman" w:cs="Calibri"/>
          <w:lang w:eastAsia="cs-CZ"/>
          <w14:ligatures w14:val="none"/>
        </w:rPr>
      </w:pPr>
      <w:r>
        <w:rPr>
          <w:rFonts w:ascii="Calibri" w:hAnsi="Calibri" w:eastAsia="Times New Roman" w:cs="Calibri"/>
          <w:lang w:eastAsia="cs-CZ"/>
          <w14:ligatures w14:val="none"/>
        </w:rPr>
        <w:t xml:space="preserve">Kojanová, M., Fialová, J., Cetkovská, P., Gkalpakiotis, S., Jirčíková, J., Doležal, T., Arenberger, P., </w:t>
      </w:r>
      <w:r>
        <w:rPr>
          <w:rFonts w:ascii="Calibri" w:hAnsi="Calibri" w:eastAsia="Times New Roman" w:cs="Calibri"/>
          <w:u w:val="single"/>
          <w:lang w:eastAsia="cs-CZ"/>
          <w14:ligatures w14:val="none"/>
        </w:rPr>
        <w:t xml:space="preserve">A skupina BIOREP</w:t>
      </w:r>
      <w:r>
        <w:rPr>
          <w:rFonts w:ascii="Calibri" w:hAnsi="Calibri" w:eastAsia="Times New Roman" w:cs="Calibri"/>
          <w:lang w:eastAsia="cs-CZ"/>
          <w14:ligatures w14:val="none"/>
        </w:rPr>
        <w:t xml:space="preserve"> </w:t>
      </w:r>
      <w:r>
        <w:rPr>
          <w:rFonts w:ascii="Calibri" w:hAnsi="Calibri" w:eastAsia="Times New Roman" w:cs="Calibri"/>
          <w:color w:val="3a7c22" w:themeColor="accent6" w:themeShade="BF"/>
          <w:lang w:eastAsia="cs-CZ"/>
          <w14:ligatures w14:val="none"/>
        </w:rPr>
        <w:t xml:space="preserve">Analýza pacientů se středně těžkou až těžkou psoriázou před zahájením biologické léčby v České republice - Údaje z registru BIOREP 2005-2016. </w:t>
      </w:r>
      <w:r>
        <w:rPr>
          <w:rFonts w:ascii="Calibri" w:hAnsi="Calibri" w:eastAsia="Times New Roman" w:cs="Calibri"/>
          <w:lang w:eastAsia="cs-CZ"/>
          <w14:ligatures w14:val="none"/>
        </w:rPr>
        <w:t xml:space="preserve">Čes-slov Derm, </w:t>
      </w:r>
      <w:r>
        <w:rPr>
          <w:rFonts w:ascii="Calibri" w:hAnsi="Calibri" w:eastAsia="Times New Roman" w:cs="Calibri"/>
          <w:lang w:eastAsia="cs-CZ"/>
          <w14:ligatures w14:val="none"/>
        </w:rPr>
        <w:t xml:space="preserve">2016</w:t>
      </w:r>
      <w:r>
        <w:rPr>
          <w:rFonts w:ascii="Calibri" w:hAnsi="Calibri" w:eastAsia="Times New Roman" w:cs="Calibri"/>
          <w:lang w:eastAsia="cs-CZ"/>
          <w14:ligatures w14:val="none"/>
        </w:rPr>
        <w:t xml:space="preserve">, </w:t>
      </w:r>
      <w:r>
        <w:rPr>
          <w:rFonts w:ascii="Calibri" w:hAnsi="Calibri" w:eastAsia="Times New Roman" w:cs="Calibri"/>
          <w:lang w:eastAsia="cs-CZ"/>
          <w14:ligatures w14:val="none"/>
        </w:rPr>
        <w:t xml:space="preserve">91 (5), pp. 223-232. </w:t>
      </w:r>
      <w:r>
        <w:rPr>
          <w:rFonts w:ascii="Calibri" w:hAnsi="Calibri" w:eastAsia="Times New Roman" w:cs="Calibri"/>
          <w:lang w:eastAsia="cs-CZ"/>
          <w14:ligatures w14:val="none"/>
        </w:rPr>
      </w:r>
      <w:r/>
      <w:r/>
      <w:r>
        <w:rPr>
          <w:rFonts w:ascii="Calibri" w:hAnsi="Calibri" w:eastAsia="Times New Roman" w:cs="Calibri"/>
          <w:lang w:eastAsia="cs-CZ"/>
          <w14:ligatures w14:val="none"/>
        </w:rPr>
      </w:r>
    </w:p>
    <w:sectPr>
      <w:footerReference w:type="default" r:id="rId9"/>
      <w:footnotePr/>
      <w:endnotePr/>
      <w:type w:val="nextPage"/>
      <w:pgSz w:h="16838" w:orient="portrait" w:w="11906"/>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CBB1CCB" w14:textId="77777777">
      <w:pPr>
        <w:pBdr/>
        <w:spacing w:after="0" w:line="240" w:lineRule="auto"/>
        <w:ind/>
        <w:rPr/>
      </w:pPr>
      <w:r>
        <w:separator/>
      </w:r>
      <w:r/>
    </w:p>
  </w:endnote>
  <w:endnote w:type="continuationSeparator" w:id="0">
    <w:p w14:paraId="6214FAF5"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ingdings">
    <w:panose1 w:val="05010000000000000000"/>
  </w:font>
  <w:font w:name="Courier New">
    <w:panose1 w:val="02070409020205020404"/>
  </w:font>
  <w:font w:name="Times New Roman">
    <w:panose1 w:val="02020603050405020304"/>
  </w:font>
  <w:font w:name="Symbol">
    <w:panose1 w:val="05010000000000000000"/>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98398021"/>
      <w:docPartObj>
        <w:docPartGallery w:val="Page Numbers (Bottom of Page)"/>
        <w:docPartUnique w:val="true"/>
      </w:docPartObj>
      <w:rPr/>
    </w:sdtPr>
    <w:sdtContent>
      <w:p w14:paraId="7A88E9F8" w14:textId="67B07E4E">
        <w:pPr>
          <w:pStyle w:val="768"/>
          <w:pBdr/>
          <w:spacing/>
          <w:ind/>
          <w:jc w:val="center"/>
          <w:rPr/>
        </w:pPr>
        <w:r>
          <w:fldChar w:fldCharType="begin"/>
        </w:r>
        <w:r>
          <w:instrText xml:space="preserve">PAGE   \* MERGEFORMAT</w:instrText>
        </w:r>
        <w:r>
          <w:fldChar w:fldCharType="separate"/>
        </w:r>
        <w:r>
          <w:t xml:space="preserve">2</w:t>
        </w:r>
        <w:r>
          <w:fldChar w:fldCharType="end"/>
        </w:r>
        <w:r/>
      </w:p>
    </w:sdtContent>
  </w:sdt>
  <w:p w14:paraId="7CF4752F" w14:textId="77777777">
    <w:pPr>
      <w:pStyle w:val="768"/>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7F7C5B34" w14:textId="77777777">
      <w:pPr>
        <w:pBdr/>
        <w:spacing w:after="0" w:line="240" w:lineRule="auto"/>
        <w:ind/>
        <w:rPr/>
      </w:pPr>
      <w:r>
        <w:separator/>
      </w:r>
      <w:r/>
    </w:p>
  </w:footnote>
  <w:footnote w:type="continuationSeparator" w:id="0">
    <w:p w14:paraId="51D81BD1" w14:textId="77777777">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07931"/>
    <w:lvl w:ilvl="0">
      <w:isLgl w:val="false"/>
      <w:lvlJc w:val="left"/>
      <w:lvlText w:val="%1."/>
      <w:numFmt w:val="decimal"/>
      <w:pPr>
        <w:pBdr/>
        <w:tabs>
          <w:tab w:val="num" w:leader="none" w:pos="720"/>
        </w:tabs>
        <w:spacing/>
        <w:ind w:hanging="360" w:left="720"/>
      </w:pPr>
      <w:rPr>
        <w:rFonts w:hint="default"/>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abstractNum w:abstractNumId="1">
    <w:nsid w:val="47444100"/>
    <w:lvl w:ilvl="0">
      <w:isLgl w:val="false"/>
      <w:lvlJc w:val="left"/>
      <w:lvlText w:val="%1."/>
      <w:numFmt w:val="decimal"/>
      <w:pPr>
        <w:pBdr/>
        <w:tabs>
          <w:tab w:val="num" w:leader="none" w:pos="720"/>
        </w:tabs>
        <w:spacing/>
        <w:ind w:hanging="360" w:left="720"/>
      </w:pPr>
      <w:rPr>
        <w:rFonts w:hint="default"/>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abstractNum w:abstractNumId="2">
    <w:nsid w:val="53E123DE"/>
    <w:lvl w:ilvl="0">
      <w:isLgl w:val="false"/>
      <w:lvlJc w:val="left"/>
      <w:lvlText w:val="-"/>
      <w:numFmt w:val="bullet"/>
      <w:pPr>
        <w:pBdr/>
        <w:spacing/>
        <w:ind w:hanging="360" w:left="720"/>
      </w:pPr>
      <w:rPr>
        <w:rFonts w:hint="default" w:ascii="Arial" w:hAnsi="Arial" w:eastAsia="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cs-CZ"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4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4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4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4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4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4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4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4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4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4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4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4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4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4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4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4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4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4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4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4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4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4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4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4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4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4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4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4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4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4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4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4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4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4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4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4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4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ba6" w:themeColor="accent1" w:themeTint="80" w:themeShade="95"/>
      </w:rPr>
      <w:pPr>
        <w:pBdr/>
        <w:spacing/>
        <w:ind/>
      </w:pPr>
      <w:tblPr>
        <w:tblBorders/>
      </w:tblPr>
      <w:tcPr>
        <w:tcBorders/>
      </w:tcPr>
    </w:tblStylePr>
    <w:tblStylePr w:type="firstRow">
      <w:rPr>
        <w:b/>
        <w:color w:val="1b7b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ba6" w:themeColor="accent1" w:themeTint="80" w:themeShade="95"/>
      </w:rPr>
      <w:pPr>
        <w:pBdr/>
        <w:spacing/>
        <w:ind/>
      </w:pPr>
      <w:tblPr>
        <w:tblBorders/>
      </w:tblPr>
      <w:tcPr>
        <w:tcBorders/>
      </w:tcPr>
    </w:tblStylePr>
    <w:tblStylePr w:type="lastRow">
      <w:rPr>
        <w:b/>
        <w:color w:val="1b7b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4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4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4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4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4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4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4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b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b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ba6"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b7ba6"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4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4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f3f15"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4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9"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4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5d1956"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4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e621b"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4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4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4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4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4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4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4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4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4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4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4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4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4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4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4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4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4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4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4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4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4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4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4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4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4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4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4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4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4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4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4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4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72d" w:themeColor="accent3" w:themeTint="98" w:themeShade="95"/>
      </w:rPr>
      <w:pPr>
        <w:pBdr/>
        <w:spacing/>
        <w:ind/>
      </w:pPr>
      <w:tblPr>
        <w:tblBorders/>
      </w:tblPr>
      <w:tcPr>
        <w:tcBorders/>
      </w:tcPr>
    </w:tblStylePr>
    <w:tblStylePr w:type="firstRow">
      <w:rPr>
        <w:b/>
        <w:color w:val="20872d" w:themeColor="accent3" w:themeTint="98" w:themeShade="95"/>
      </w:rPr>
      <w:pPr>
        <w:pBdr/>
        <w:spacing/>
        <w:ind/>
      </w:pPr>
      <w:tblPr>
        <w:tblBorders/>
      </w:tblPr>
      <w:tcPr>
        <w:tcBorders>
          <w:bottom w:val="single" w:color="000000" w:themeColor="accent3" w:themeTint="98" w:sz="4" w:space="0"/>
        </w:tcBorders>
      </w:tcPr>
    </w:tblStylePr>
    <w:tblStylePr w:type="lastCol">
      <w:rPr>
        <w:b/>
        <w:color w:val="20872d" w:themeColor="accent3" w:themeTint="98" w:themeShade="95"/>
      </w:rPr>
      <w:pPr>
        <w:pBdr/>
        <w:spacing/>
        <w:ind/>
      </w:pPr>
      <w:tblPr>
        <w:tblBorders/>
      </w:tblPr>
      <w:tcPr>
        <w:tcBorders/>
      </w:tcPr>
    </w:tblStylePr>
    <w:tblStylePr w:type="lastRow">
      <w:rPr>
        <w:b/>
        <w:color w:val="20872d"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4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4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52889" w:themeColor="accent5" w:themeTint="9A" w:themeShade="95"/>
      </w:rPr>
      <w:pPr>
        <w:pBdr/>
        <w:spacing/>
        <w:ind/>
      </w:pPr>
      <w:tblPr>
        <w:tblBorders/>
      </w:tblPr>
      <w:tcPr>
        <w:tcBorders/>
      </w:tcPr>
    </w:tblStylePr>
    <w:tblStylePr w:type="firstRow">
      <w:rPr>
        <w:b/>
        <w:color w:val="952889" w:themeColor="accent5" w:themeTint="9A" w:themeShade="95"/>
      </w:rPr>
      <w:pPr>
        <w:pBdr/>
        <w:spacing/>
        <w:ind/>
      </w:pPr>
      <w:tblPr>
        <w:tblBorders/>
      </w:tblPr>
      <w:tcPr>
        <w:tcBorders>
          <w:bottom w:val="single" w:color="000000" w:themeColor="accent5" w:themeTint="9A" w:sz="4" w:space="0"/>
        </w:tcBorders>
      </w:tcPr>
    </w:tblStylePr>
    <w:tblStylePr w:type="lastCol">
      <w:rPr>
        <w:b/>
        <w:color w:val="952889" w:themeColor="accent5" w:themeTint="9A" w:themeShade="95"/>
      </w:rPr>
      <w:pPr>
        <w:pBdr/>
        <w:spacing/>
        <w:ind/>
      </w:pPr>
      <w:tblPr>
        <w:tblBorders/>
      </w:tblPr>
      <w:tcPr>
        <w:tcBorders/>
      </w:tcPr>
    </w:tblStylePr>
    <w:tblStylePr w:type="lastRow">
      <w:rPr>
        <w:b/>
        <w:color w:val="952889"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4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4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4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c384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12">
    <w:name w:val="List Table 7 Colorful - Accent 2"/>
    <w:basedOn w:val="74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13">
    <w:name w:val="List Table 7 Colorful - Accent 3"/>
    <w:basedOn w:val="74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72d"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72d"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72d"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20872d"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72d" w:themeColor="accent3" w:themeTint="98" w:themeShade="95"/>
        <w:sz w:val="22"/>
      </w:rPr>
      <w:pPr>
        <w:pBdr/>
        <w:spacing/>
        <w:ind/>
      </w:pPr>
      <w:tblPr>
        <w:tblBorders/>
      </w:tblPr>
      <w:tcPr>
        <w:tcBorders/>
      </w:tcPr>
    </w:tblStylePr>
  </w:style>
  <w:style w:type="table" w:styleId="114">
    <w:name w:val="List Table 7 Colorful - Accent 4"/>
    <w:basedOn w:val="74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9"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9" w:themeColor="accent4" w:themeTint="9A" w:themeShade="95"/>
        <w:sz w:val="22"/>
      </w:rPr>
      <w:pPr>
        <w:pBdr/>
        <w:spacing/>
        <w:ind/>
      </w:pPr>
      <w:tblPr>
        <w:tblBorders/>
      </w:tblPr>
      <w:tcPr>
        <w:tcBorders/>
      </w:tcPr>
    </w:tblStylePr>
  </w:style>
  <w:style w:type="table" w:styleId="115">
    <w:name w:val="List Table 7 Colorful - Accent 5"/>
    <w:basedOn w:val="74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52889"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52889"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52889"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952889"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52889" w:themeColor="accent5" w:themeTint="9A" w:themeShade="95"/>
        <w:sz w:val="22"/>
      </w:rPr>
      <w:pPr>
        <w:pBdr/>
        <w:spacing/>
        <w:ind/>
      </w:pPr>
      <w:tblPr>
        <w:tblBorders/>
      </w:tblPr>
      <w:tcPr>
        <w:tcBorders/>
      </w:tcPr>
    </w:tblStylePr>
  </w:style>
  <w:style w:type="table" w:styleId="116">
    <w:name w:val="List Table 7 Colorful - Accent 6"/>
    <w:basedOn w:val="74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7992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117">
    <w:name w:val="Lined - Accent"/>
    <w:basedOn w:val="7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4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4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4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4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4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4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4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4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4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4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4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4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4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4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0">
    <w:name w:val="Heading 1 Char"/>
    <w:basedOn w:val="740"/>
    <w:link w:val="731"/>
    <w:uiPriority w:val="9"/>
    <w:pPr>
      <w:pBdr/>
      <w:spacing/>
      <w:ind/>
    </w:pPr>
    <w:rPr>
      <w:rFonts w:ascii="Arial" w:hAnsi="Arial" w:eastAsia="Arial" w:cs="Arial"/>
      <w:color w:val="0f4761" w:themeColor="accent1" w:themeShade="BF"/>
      <w:sz w:val="40"/>
      <w:szCs w:val="40"/>
    </w:rPr>
  </w:style>
  <w:style w:type="character" w:styleId="151">
    <w:name w:val="Heading 2 Char"/>
    <w:basedOn w:val="740"/>
    <w:link w:val="732"/>
    <w:uiPriority w:val="9"/>
    <w:pPr>
      <w:pBdr/>
      <w:spacing/>
      <w:ind/>
    </w:pPr>
    <w:rPr>
      <w:rFonts w:ascii="Arial" w:hAnsi="Arial" w:eastAsia="Arial" w:cs="Arial"/>
      <w:color w:val="0f4761" w:themeColor="accent1" w:themeShade="BF"/>
      <w:sz w:val="32"/>
      <w:szCs w:val="32"/>
    </w:rPr>
  </w:style>
  <w:style w:type="character" w:styleId="152">
    <w:name w:val="Heading 3 Char"/>
    <w:basedOn w:val="740"/>
    <w:link w:val="733"/>
    <w:uiPriority w:val="9"/>
    <w:pPr>
      <w:pBdr/>
      <w:spacing/>
      <w:ind/>
    </w:pPr>
    <w:rPr>
      <w:rFonts w:ascii="Arial" w:hAnsi="Arial" w:eastAsia="Arial" w:cs="Arial"/>
      <w:color w:val="0f4761" w:themeColor="accent1" w:themeShade="BF"/>
      <w:sz w:val="28"/>
      <w:szCs w:val="28"/>
    </w:rPr>
  </w:style>
  <w:style w:type="character" w:styleId="153">
    <w:name w:val="Heading 4 Char"/>
    <w:basedOn w:val="740"/>
    <w:link w:val="734"/>
    <w:uiPriority w:val="9"/>
    <w:pPr>
      <w:pBdr/>
      <w:spacing/>
      <w:ind/>
    </w:pPr>
    <w:rPr>
      <w:rFonts w:ascii="Arial" w:hAnsi="Arial" w:eastAsia="Arial" w:cs="Arial"/>
      <w:i/>
      <w:iCs/>
      <w:color w:val="0f4761" w:themeColor="accent1" w:themeShade="BF"/>
    </w:rPr>
  </w:style>
  <w:style w:type="character" w:styleId="154">
    <w:name w:val="Heading 5 Char"/>
    <w:basedOn w:val="740"/>
    <w:link w:val="735"/>
    <w:uiPriority w:val="9"/>
    <w:pPr>
      <w:pBdr/>
      <w:spacing/>
      <w:ind/>
    </w:pPr>
    <w:rPr>
      <w:rFonts w:ascii="Arial" w:hAnsi="Arial" w:eastAsia="Arial" w:cs="Arial"/>
      <w:color w:val="0f4761" w:themeColor="accent1" w:themeShade="BF"/>
    </w:rPr>
  </w:style>
  <w:style w:type="character" w:styleId="155">
    <w:name w:val="Heading 6 Char"/>
    <w:basedOn w:val="740"/>
    <w:link w:val="736"/>
    <w:uiPriority w:val="9"/>
    <w:pPr>
      <w:pBdr/>
      <w:spacing/>
      <w:ind/>
    </w:pPr>
    <w:rPr>
      <w:rFonts w:ascii="Arial" w:hAnsi="Arial" w:eastAsia="Arial" w:cs="Arial"/>
      <w:i/>
      <w:iCs/>
      <w:color w:val="595959" w:themeColor="text1" w:themeTint="A6"/>
    </w:rPr>
  </w:style>
  <w:style w:type="character" w:styleId="156">
    <w:name w:val="Heading 7 Char"/>
    <w:basedOn w:val="740"/>
    <w:link w:val="737"/>
    <w:uiPriority w:val="9"/>
    <w:pPr>
      <w:pBdr/>
      <w:spacing/>
      <w:ind/>
    </w:pPr>
    <w:rPr>
      <w:rFonts w:ascii="Arial" w:hAnsi="Arial" w:eastAsia="Arial" w:cs="Arial"/>
      <w:color w:val="595959" w:themeColor="text1" w:themeTint="A6"/>
    </w:rPr>
  </w:style>
  <w:style w:type="character" w:styleId="157">
    <w:name w:val="Heading 8 Char"/>
    <w:basedOn w:val="740"/>
    <w:link w:val="738"/>
    <w:uiPriority w:val="9"/>
    <w:pPr>
      <w:pBdr/>
      <w:spacing/>
      <w:ind/>
    </w:pPr>
    <w:rPr>
      <w:rFonts w:ascii="Arial" w:hAnsi="Arial" w:eastAsia="Arial" w:cs="Arial"/>
      <w:i/>
      <w:iCs/>
      <w:color w:val="272727" w:themeColor="text1" w:themeTint="D8"/>
    </w:rPr>
  </w:style>
  <w:style w:type="character" w:styleId="158">
    <w:name w:val="Heading 9 Char"/>
    <w:basedOn w:val="740"/>
    <w:link w:val="739"/>
    <w:uiPriority w:val="9"/>
    <w:pPr>
      <w:pBdr/>
      <w:spacing/>
      <w:ind/>
    </w:pPr>
    <w:rPr>
      <w:rFonts w:ascii="Arial" w:hAnsi="Arial" w:eastAsia="Arial" w:cs="Arial"/>
      <w:i/>
      <w:iCs/>
      <w:color w:val="272727" w:themeColor="text1" w:themeTint="D8"/>
    </w:rPr>
  </w:style>
  <w:style w:type="character" w:styleId="160">
    <w:name w:val="Title Char"/>
    <w:basedOn w:val="740"/>
    <w:link w:val="752"/>
    <w:uiPriority w:val="10"/>
    <w:pPr>
      <w:pBdr/>
      <w:spacing/>
      <w:ind/>
    </w:pPr>
    <w:rPr>
      <w:rFonts w:ascii="Arial" w:hAnsi="Arial" w:eastAsia="Arial" w:cs="Arial"/>
      <w:spacing w:val="-10"/>
      <w:sz w:val="56"/>
      <w:szCs w:val="56"/>
    </w:rPr>
  </w:style>
  <w:style w:type="character" w:styleId="162">
    <w:name w:val="Subtitle Char"/>
    <w:basedOn w:val="740"/>
    <w:link w:val="754"/>
    <w:uiPriority w:val="11"/>
    <w:pPr>
      <w:pBdr/>
      <w:spacing/>
      <w:ind/>
    </w:pPr>
    <w:rPr>
      <w:color w:val="595959" w:themeColor="text1" w:themeTint="A6"/>
      <w:spacing w:val="15"/>
      <w:sz w:val="28"/>
      <w:szCs w:val="28"/>
    </w:rPr>
  </w:style>
  <w:style w:type="character" w:styleId="164">
    <w:name w:val="Quote Char"/>
    <w:basedOn w:val="740"/>
    <w:link w:val="756"/>
    <w:uiPriority w:val="29"/>
    <w:pPr>
      <w:pBdr/>
      <w:spacing/>
      <w:ind/>
    </w:pPr>
    <w:rPr>
      <w:i/>
      <w:iCs/>
      <w:color w:val="404040" w:themeColor="text1" w:themeTint="BF"/>
    </w:rPr>
  </w:style>
  <w:style w:type="character" w:styleId="168">
    <w:name w:val="Intense Quote Char"/>
    <w:basedOn w:val="740"/>
    <w:link w:val="760"/>
    <w:uiPriority w:val="30"/>
    <w:pPr>
      <w:pBdr/>
      <w:spacing/>
      <w:ind/>
    </w:pPr>
    <w:rPr>
      <w:i/>
      <w:iCs/>
      <w:color w:val="0f4761" w:themeColor="accent1" w:themeShade="BF"/>
    </w:rPr>
  </w:style>
  <w:style w:type="character" w:styleId="171">
    <w:name w:val="Subtle Emphasis"/>
    <w:basedOn w:val="740"/>
    <w:uiPriority w:val="19"/>
    <w:qFormat/>
    <w:pPr>
      <w:pBdr/>
      <w:spacing/>
      <w:ind/>
    </w:pPr>
    <w:rPr>
      <w:i/>
      <w:iCs/>
      <w:color w:val="404040" w:themeColor="text1" w:themeTint="BF"/>
    </w:rPr>
  </w:style>
  <w:style w:type="character" w:styleId="172">
    <w:name w:val="Emphasis"/>
    <w:basedOn w:val="740"/>
    <w:uiPriority w:val="20"/>
    <w:qFormat/>
    <w:pPr>
      <w:pBdr/>
      <w:spacing/>
      <w:ind/>
    </w:pPr>
    <w:rPr>
      <w:i/>
      <w:iCs/>
    </w:rPr>
  </w:style>
  <w:style w:type="character" w:styleId="173">
    <w:name w:val="Strong"/>
    <w:basedOn w:val="740"/>
    <w:uiPriority w:val="22"/>
    <w:qFormat/>
    <w:pPr>
      <w:pBdr/>
      <w:spacing/>
      <w:ind/>
    </w:pPr>
    <w:rPr>
      <w:b/>
      <w:bCs/>
    </w:rPr>
  </w:style>
  <w:style w:type="character" w:styleId="174">
    <w:name w:val="Subtle Reference"/>
    <w:basedOn w:val="740"/>
    <w:uiPriority w:val="31"/>
    <w:qFormat/>
    <w:pPr>
      <w:pBdr/>
      <w:spacing/>
      <w:ind/>
    </w:pPr>
    <w:rPr>
      <w:smallCaps/>
      <w:color w:val="5a5a5a" w:themeColor="text1" w:themeTint="A5"/>
    </w:rPr>
  </w:style>
  <w:style w:type="character" w:styleId="175">
    <w:name w:val="Book Title"/>
    <w:basedOn w:val="740"/>
    <w:uiPriority w:val="33"/>
    <w:qFormat/>
    <w:pPr>
      <w:pBdr/>
      <w:spacing/>
      <w:ind/>
    </w:pPr>
    <w:rPr>
      <w:b/>
      <w:bCs/>
      <w:i/>
      <w:iCs/>
      <w:spacing w:val="5"/>
    </w:rPr>
  </w:style>
  <w:style w:type="character" w:styleId="177">
    <w:name w:val="Header Char"/>
    <w:basedOn w:val="740"/>
    <w:link w:val="766"/>
    <w:uiPriority w:val="99"/>
    <w:pPr>
      <w:pBdr/>
      <w:spacing/>
      <w:ind/>
    </w:pPr>
  </w:style>
  <w:style w:type="character" w:styleId="179">
    <w:name w:val="Footer Char"/>
    <w:basedOn w:val="740"/>
    <w:link w:val="768"/>
    <w:uiPriority w:val="99"/>
    <w:pPr>
      <w:pBdr/>
      <w:spacing/>
      <w:ind/>
    </w:pPr>
  </w:style>
  <w:style w:type="paragraph" w:styleId="180">
    <w:name w:val="Caption"/>
    <w:basedOn w:val="730"/>
    <w:next w:val="730"/>
    <w:uiPriority w:val="35"/>
    <w:unhideWhenUsed/>
    <w:qFormat/>
    <w:pPr>
      <w:pBdr/>
      <w:spacing w:after="200" w:line="240" w:lineRule="auto"/>
      <w:ind/>
    </w:pPr>
    <w:rPr>
      <w:i/>
      <w:iCs/>
      <w:color w:val="0e2841" w:themeColor="text2"/>
      <w:sz w:val="18"/>
      <w:szCs w:val="18"/>
    </w:rPr>
  </w:style>
  <w:style w:type="paragraph" w:styleId="181">
    <w:name w:val="footnote text"/>
    <w:basedOn w:val="730"/>
    <w:link w:val="182"/>
    <w:uiPriority w:val="99"/>
    <w:semiHidden/>
    <w:unhideWhenUsed/>
    <w:pPr>
      <w:pBdr/>
      <w:spacing w:after="0" w:line="240" w:lineRule="auto"/>
      <w:ind/>
    </w:pPr>
    <w:rPr>
      <w:sz w:val="20"/>
      <w:szCs w:val="20"/>
    </w:rPr>
  </w:style>
  <w:style w:type="character" w:styleId="182">
    <w:name w:val="Footnote Text Char"/>
    <w:basedOn w:val="740"/>
    <w:link w:val="181"/>
    <w:uiPriority w:val="99"/>
    <w:semiHidden/>
    <w:pPr>
      <w:pBdr/>
      <w:spacing/>
      <w:ind/>
    </w:pPr>
    <w:rPr>
      <w:sz w:val="20"/>
      <w:szCs w:val="20"/>
    </w:rPr>
  </w:style>
  <w:style w:type="character" w:styleId="183">
    <w:name w:val="footnote reference"/>
    <w:basedOn w:val="740"/>
    <w:uiPriority w:val="99"/>
    <w:semiHidden/>
    <w:unhideWhenUsed/>
    <w:pPr>
      <w:pBdr/>
      <w:spacing/>
      <w:ind/>
    </w:pPr>
    <w:rPr>
      <w:vertAlign w:val="superscript"/>
    </w:rPr>
  </w:style>
  <w:style w:type="paragraph" w:styleId="184">
    <w:name w:val="endnote text"/>
    <w:basedOn w:val="730"/>
    <w:link w:val="185"/>
    <w:uiPriority w:val="99"/>
    <w:semiHidden/>
    <w:unhideWhenUsed/>
    <w:pPr>
      <w:pBdr/>
      <w:spacing w:after="0" w:line="240" w:lineRule="auto"/>
      <w:ind/>
    </w:pPr>
    <w:rPr>
      <w:sz w:val="20"/>
      <w:szCs w:val="20"/>
    </w:rPr>
  </w:style>
  <w:style w:type="character" w:styleId="185">
    <w:name w:val="Endnote Text Char"/>
    <w:basedOn w:val="740"/>
    <w:link w:val="184"/>
    <w:uiPriority w:val="99"/>
    <w:semiHidden/>
    <w:pPr>
      <w:pBdr/>
      <w:spacing/>
      <w:ind/>
    </w:pPr>
    <w:rPr>
      <w:sz w:val="20"/>
      <w:szCs w:val="20"/>
    </w:rPr>
  </w:style>
  <w:style w:type="character" w:styleId="186">
    <w:name w:val="endnote reference"/>
    <w:basedOn w:val="740"/>
    <w:uiPriority w:val="99"/>
    <w:semiHidden/>
    <w:unhideWhenUsed/>
    <w:pPr>
      <w:pBdr/>
      <w:spacing/>
      <w:ind/>
    </w:pPr>
    <w:rPr>
      <w:vertAlign w:val="superscript"/>
    </w:rPr>
  </w:style>
  <w:style w:type="character" w:styleId="188">
    <w:name w:val="FollowedHyperlink"/>
    <w:basedOn w:val="740"/>
    <w:uiPriority w:val="99"/>
    <w:semiHidden/>
    <w:unhideWhenUsed/>
    <w:pPr>
      <w:pBdr/>
      <w:spacing/>
      <w:ind/>
    </w:pPr>
    <w:rPr>
      <w:color w:val="954f72" w:themeColor="followedHyperlink"/>
      <w:u w:val="single"/>
    </w:rPr>
  </w:style>
  <w:style w:type="paragraph" w:styleId="189">
    <w:name w:val="toc 1"/>
    <w:basedOn w:val="730"/>
    <w:next w:val="730"/>
    <w:uiPriority w:val="39"/>
    <w:unhideWhenUsed/>
    <w:pPr>
      <w:pBdr/>
      <w:spacing w:after="100"/>
      <w:ind/>
    </w:pPr>
  </w:style>
  <w:style w:type="paragraph" w:styleId="190">
    <w:name w:val="toc 2"/>
    <w:basedOn w:val="730"/>
    <w:next w:val="730"/>
    <w:uiPriority w:val="39"/>
    <w:unhideWhenUsed/>
    <w:pPr>
      <w:pBdr/>
      <w:spacing w:after="100"/>
      <w:ind w:left="220"/>
    </w:pPr>
  </w:style>
  <w:style w:type="paragraph" w:styleId="191">
    <w:name w:val="toc 3"/>
    <w:basedOn w:val="730"/>
    <w:next w:val="730"/>
    <w:uiPriority w:val="39"/>
    <w:unhideWhenUsed/>
    <w:pPr>
      <w:pBdr/>
      <w:spacing w:after="100"/>
      <w:ind w:left="440"/>
    </w:pPr>
  </w:style>
  <w:style w:type="paragraph" w:styleId="192">
    <w:name w:val="toc 4"/>
    <w:basedOn w:val="730"/>
    <w:next w:val="730"/>
    <w:uiPriority w:val="39"/>
    <w:unhideWhenUsed/>
    <w:pPr>
      <w:pBdr/>
      <w:spacing w:after="100"/>
      <w:ind w:left="660"/>
    </w:pPr>
  </w:style>
  <w:style w:type="paragraph" w:styleId="193">
    <w:name w:val="toc 5"/>
    <w:basedOn w:val="730"/>
    <w:next w:val="730"/>
    <w:uiPriority w:val="39"/>
    <w:unhideWhenUsed/>
    <w:pPr>
      <w:pBdr/>
      <w:spacing w:after="100"/>
      <w:ind w:left="880"/>
    </w:pPr>
  </w:style>
  <w:style w:type="paragraph" w:styleId="194">
    <w:name w:val="toc 6"/>
    <w:basedOn w:val="730"/>
    <w:next w:val="730"/>
    <w:uiPriority w:val="39"/>
    <w:unhideWhenUsed/>
    <w:pPr>
      <w:pBdr/>
      <w:spacing w:after="100"/>
      <w:ind w:left="1100"/>
    </w:pPr>
  </w:style>
  <w:style w:type="paragraph" w:styleId="195">
    <w:name w:val="toc 7"/>
    <w:basedOn w:val="730"/>
    <w:next w:val="730"/>
    <w:uiPriority w:val="39"/>
    <w:unhideWhenUsed/>
    <w:pPr>
      <w:pBdr/>
      <w:spacing w:after="100"/>
      <w:ind w:left="1320"/>
    </w:pPr>
  </w:style>
  <w:style w:type="paragraph" w:styleId="196">
    <w:name w:val="toc 8"/>
    <w:basedOn w:val="730"/>
    <w:next w:val="730"/>
    <w:uiPriority w:val="39"/>
    <w:unhideWhenUsed/>
    <w:pPr>
      <w:pBdr/>
      <w:spacing w:after="100"/>
      <w:ind w:left="1540"/>
    </w:pPr>
  </w:style>
  <w:style w:type="paragraph" w:styleId="197">
    <w:name w:val="toc 9"/>
    <w:basedOn w:val="730"/>
    <w:next w:val="730"/>
    <w:uiPriority w:val="39"/>
    <w:unhideWhenUsed/>
    <w:pPr>
      <w:pBdr/>
      <w:spacing w:after="100"/>
      <w:ind w:left="1760"/>
    </w:pPr>
  </w:style>
  <w:style w:type="character" w:styleId="198">
    <w:name w:val="Placeholder Text"/>
    <w:basedOn w:val="740"/>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30"/>
    <w:next w:val="730"/>
    <w:uiPriority w:val="99"/>
    <w:unhideWhenUsed/>
    <w:pPr>
      <w:pBdr/>
      <w:spacing w:after="0" w:afterAutospacing="0"/>
      <w:ind/>
    </w:pPr>
  </w:style>
  <w:style w:type="paragraph" w:styleId="730" w:default="1">
    <w:name w:val="Normal"/>
    <w:qFormat/>
    <w:pPr>
      <w:pBdr/>
      <w:spacing/>
      <w:ind/>
    </w:pPr>
  </w:style>
  <w:style w:type="paragraph" w:styleId="731">
    <w:name w:val="Heading 1"/>
    <w:basedOn w:val="730"/>
    <w:next w:val="730"/>
    <w:link w:val="743"/>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732">
    <w:name w:val="Heading 2"/>
    <w:basedOn w:val="730"/>
    <w:next w:val="730"/>
    <w:link w:val="744"/>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733">
    <w:name w:val="Heading 3"/>
    <w:basedOn w:val="730"/>
    <w:next w:val="730"/>
    <w:link w:val="745"/>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734">
    <w:name w:val="Heading 4"/>
    <w:basedOn w:val="730"/>
    <w:next w:val="730"/>
    <w:link w:val="746"/>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735">
    <w:name w:val="Heading 5"/>
    <w:basedOn w:val="730"/>
    <w:next w:val="730"/>
    <w:link w:val="747"/>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736">
    <w:name w:val="Heading 6"/>
    <w:basedOn w:val="730"/>
    <w:next w:val="730"/>
    <w:link w:val="748"/>
    <w:uiPriority w:val="9"/>
    <w:semiHidden/>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737">
    <w:name w:val="Heading 7"/>
    <w:basedOn w:val="730"/>
    <w:next w:val="730"/>
    <w:link w:val="749"/>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738">
    <w:name w:val="Heading 8"/>
    <w:basedOn w:val="730"/>
    <w:next w:val="730"/>
    <w:link w:val="750"/>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739">
    <w:name w:val="Heading 9"/>
    <w:basedOn w:val="730"/>
    <w:next w:val="730"/>
    <w:link w:val="751"/>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740" w:default="1">
    <w:name w:val="Default Paragraph Font"/>
    <w:uiPriority w:val="1"/>
    <w:semiHidden/>
    <w:unhideWhenUsed/>
    <w:pPr>
      <w:pBdr/>
      <w:spacing/>
      <w:ind/>
    </w:pPr>
  </w:style>
  <w:style w:type="table" w:styleId="74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42" w:default="1">
    <w:name w:val="No List"/>
    <w:uiPriority w:val="99"/>
    <w:semiHidden/>
    <w:unhideWhenUsed/>
    <w:pPr>
      <w:pBdr/>
      <w:spacing/>
      <w:ind/>
    </w:pPr>
  </w:style>
  <w:style w:type="character" w:styleId="743" w:customStyle="1">
    <w:name w:val="Nadpis 1 Char"/>
    <w:basedOn w:val="740"/>
    <w:link w:val="731"/>
    <w:uiPriority w:val="9"/>
    <w:pPr>
      <w:pBdr/>
      <w:spacing/>
      <w:ind/>
    </w:pPr>
    <w:rPr>
      <w:rFonts w:asciiTheme="majorHAnsi" w:hAnsiTheme="majorHAnsi" w:eastAsiaTheme="majorEastAsia" w:cstheme="majorBidi"/>
      <w:color w:val="0f4761" w:themeColor="accent1" w:themeShade="BF"/>
      <w:sz w:val="40"/>
      <w:szCs w:val="40"/>
    </w:rPr>
  </w:style>
  <w:style w:type="character" w:styleId="744" w:customStyle="1">
    <w:name w:val="Nadpis 2 Char"/>
    <w:basedOn w:val="740"/>
    <w:link w:val="732"/>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745" w:customStyle="1">
    <w:name w:val="Nadpis 3 Char"/>
    <w:basedOn w:val="740"/>
    <w:link w:val="733"/>
    <w:uiPriority w:val="9"/>
    <w:semiHidden/>
    <w:pPr>
      <w:pBdr/>
      <w:spacing/>
      <w:ind/>
    </w:pPr>
    <w:rPr>
      <w:rFonts w:eastAsiaTheme="majorEastAsia" w:cstheme="majorBidi"/>
      <w:color w:val="0f4761" w:themeColor="accent1" w:themeShade="BF"/>
      <w:sz w:val="28"/>
      <w:szCs w:val="28"/>
    </w:rPr>
  </w:style>
  <w:style w:type="character" w:styleId="746" w:customStyle="1">
    <w:name w:val="Nadpis 4 Char"/>
    <w:basedOn w:val="740"/>
    <w:link w:val="734"/>
    <w:uiPriority w:val="9"/>
    <w:semiHidden/>
    <w:pPr>
      <w:pBdr/>
      <w:spacing/>
      <w:ind/>
    </w:pPr>
    <w:rPr>
      <w:rFonts w:eastAsiaTheme="majorEastAsia" w:cstheme="majorBidi"/>
      <w:i/>
      <w:iCs/>
      <w:color w:val="0f4761" w:themeColor="accent1" w:themeShade="BF"/>
    </w:rPr>
  </w:style>
  <w:style w:type="character" w:styleId="747" w:customStyle="1">
    <w:name w:val="Nadpis 5 Char"/>
    <w:basedOn w:val="740"/>
    <w:link w:val="735"/>
    <w:uiPriority w:val="9"/>
    <w:semiHidden/>
    <w:pPr>
      <w:pBdr/>
      <w:spacing/>
      <w:ind/>
    </w:pPr>
    <w:rPr>
      <w:rFonts w:eastAsiaTheme="majorEastAsia" w:cstheme="majorBidi"/>
      <w:color w:val="0f4761" w:themeColor="accent1" w:themeShade="BF"/>
    </w:rPr>
  </w:style>
  <w:style w:type="character" w:styleId="748" w:customStyle="1">
    <w:name w:val="Nadpis 6 Char"/>
    <w:basedOn w:val="740"/>
    <w:link w:val="736"/>
    <w:uiPriority w:val="9"/>
    <w:semiHidden/>
    <w:pPr>
      <w:pBdr/>
      <w:spacing/>
      <w:ind/>
    </w:pPr>
    <w:rPr>
      <w:rFonts w:eastAsiaTheme="majorEastAsia" w:cstheme="majorBidi"/>
      <w:i/>
      <w:iCs/>
      <w:color w:val="595959" w:themeColor="text1" w:themeTint="A6"/>
    </w:rPr>
  </w:style>
  <w:style w:type="character" w:styleId="749" w:customStyle="1">
    <w:name w:val="Nadpis 7 Char"/>
    <w:basedOn w:val="740"/>
    <w:link w:val="737"/>
    <w:uiPriority w:val="9"/>
    <w:semiHidden/>
    <w:pPr>
      <w:pBdr/>
      <w:spacing/>
      <w:ind/>
    </w:pPr>
    <w:rPr>
      <w:rFonts w:eastAsiaTheme="majorEastAsia" w:cstheme="majorBidi"/>
      <w:color w:val="595959" w:themeColor="text1" w:themeTint="A6"/>
    </w:rPr>
  </w:style>
  <w:style w:type="character" w:styleId="750" w:customStyle="1">
    <w:name w:val="Nadpis 8 Char"/>
    <w:basedOn w:val="740"/>
    <w:link w:val="738"/>
    <w:uiPriority w:val="9"/>
    <w:semiHidden/>
    <w:pPr>
      <w:pBdr/>
      <w:spacing/>
      <w:ind/>
    </w:pPr>
    <w:rPr>
      <w:rFonts w:eastAsiaTheme="majorEastAsia" w:cstheme="majorBidi"/>
      <w:i/>
      <w:iCs/>
      <w:color w:val="272727" w:themeColor="text1" w:themeTint="D8"/>
    </w:rPr>
  </w:style>
  <w:style w:type="character" w:styleId="751" w:customStyle="1">
    <w:name w:val="Nadpis 9 Char"/>
    <w:basedOn w:val="740"/>
    <w:link w:val="739"/>
    <w:uiPriority w:val="9"/>
    <w:semiHidden/>
    <w:pPr>
      <w:pBdr/>
      <w:spacing/>
      <w:ind/>
    </w:pPr>
    <w:rPr>
      <w:rFonts w:eastAsiaTheme="majorEastAsia" w:cstheme="majorBidi"/>
      <w:color w:val="272727" w:themeColor="text1" w:themeTint="D8"/>
    </w:rPr>
  </w:style>
  <w:style w:type="paragraph" w:styleId="752">
    <w:name w:val="Title"/>
    <w:basedOn w:val="730"/>
    <w:next w:val="730"/>
    <w:link w:val="753"/>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753" w:customStyle="1">
    <w:name w:val="Název Char"/>
    <w:basedOn w:val="740"/>
    <w:link w:val="752"/>
    <w:uiPriority w:val="10"/>
    <w:pPr>
      <w:pBdr/>
      <w:spacing/>
      <w:ind/>
    </w:pPr>
    <w:rPr>
      <w:rFonts w:asciiTheme="majorHAnsi" w:hAnsiTheme="majorHAnsi" w:eastAsiaTheme="majorEastAsia" w:cstheme="majorBidi"/>
      <w:spacing w:val="-10"/>
      <w:sz w:val="56"/>
      <w:szCs w:val="56"/>
    </w:rPr>
  </w:style>
  <w:style w:type="paragraph" w:styleId="754">
    <w:name w:val="Subtitle"/>
    <w:basedOn w:val="730"/>
    <w:next w:val="730"/>
    <w:link w:val="755"/>
    <w:uiPriority w:val="11"/>
    <w:qFormat/>
    <w:pPr>
      <w:numPr>
        <w:ilvl w:val="1"/>
      </w:numPr>
      <w:pBdr/>
      <w:spacing/>
      <w:ind/>
    </w:pPr>
    <w:rPr>
      <w:rFonts w:eastAsiaTheme="majorEastAsia" w:cstheme="majorBidi"/>
      <w:color w:val="595959" w:themeColor="text1" w:themeTint="A6"/>
      <w:spacing w:val="15"/>
      <w:sz w:val="28"/>
      <w:szCs w:val="28"/>
    </w:rPr>
  </w:style>
  <w:style w:type="character" w:styleId="755" w:customStyle="1">
    <w:name w:val="Podnadpis Char"/>
    <w:basedOn w:val="740"/>
    <w:link w:val="754"/>
    <w:uiPriority w:val="11"/>
    <w:pPr>
      <w:pBdr/>
      <w:spacing/>
      <w:ind/>
    </w:pPr>
    <w:rPr>
      <w:rFonts w:eastAsiaTheme="majorEastAsia" w:cstheme="majorBidi"/>
      <w:color w:val="595959" w:themeColor="text1" w:themeTint="A6"/>
      <w:spacing w:val="15"/>
      <w:sz w:val="28"/>
      <w:szCs w:val="28"/>
    </w:rPr>
  </w:style>
  <w:style w:type="paragraph" w:styleId="756">
    <w:name w:val="Quote"/>
    <w:basedOn w:val="730"/>
    <w:next w:val="730"/>
    <w:link w:val="757"/>
    <w:uiPriority w:val="29"/>
    <w:qFormat/>
    <w:pPr>
      <w:pBdr/>
      <w:spacing w:before="160"/>
      <w:ind/>
      <w:jc w:val="center"/>
    </w:pPr>
    <w:rPr>
      <w:i/>
      <w:iCs/>
      <w:color w:val="404040" w:themeColor="text1" w:themeTint="BF"/>
    </w:rPr>
  </w:style>
  <w:style w:type="character" w:styleId="757" w:customStyle="1">
    <w:name w:val="Citát Char"/>
    <w:basedOn w:val="740"/>
    <w:link w:val="756"/>
    <w:uiPriority w:val="29"/>
    <w:pPr>
      <w:pBdr/>
      <w:spacing/>
      <w:ind/>
    </w:pPr>
    <w:rPr>
      <w:i/>
      <w:iCs/>
      <w:color w:val="404040" w:themeColor="text1" w:themeTint="BF"/>
    </w:rPr>
  </w:style>
  <w:style w:type="paragraph" w:styleId="758">
    <w:name w:val="List Paragraph"/>
    <w:basedOn w:val="730"/>
    <w:uiPriority w:val="34"/>
    <w:qFormat/>
    <w:pPr>
      <w:pBdr/>
      <w:spacing/>
      <w:ind w:left="720"/>
      <w:contextualSpacing w:val="true"/>
    </w:pPr>
  </w:style>
  <w:style w:type="character" w:styleId="759">
    <w:name w:val="Intense Emphasis"/>
    <w:basedOn w:val="740"/>
    <w:uiPriority w:val="21"/>
    <w:qFormat/>
    <w:pPr>
      <w:pBdr/>
      <w:spacing/>
      <w:ind/>
    </w:pPr>
    <w:rPr>
      <w:i/>
      <w:iCs/>
      <w:color w:val="0f4761" w:themeColor="accent1" w:themeShade="BF"/>
    </w:rPr>
  </w:style>
  <w:style w:type="paragraph" w:styleId="760">
    <w:name w:val="Intense Quote"/>
    <w:basedOn w:val="730"/>
    <w:next w:val="730"/>
    <w:link w:val="76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761" w:customStyle="1">
    <w:name w:val="Výrazný citát Char"/>
    <w:basedOn w:val="740"/>
    <w:link w:val="760"/>
    <w:uiPriority w:val="30"/>
    <w:pPr>
      <w:pBdr/>
      <w:spacing/>
      <w:ind/>
    </w:pPr>
    <w:rPr>
      <w:i/>
      <w:iCs/>
      <w:color w:val="0f4761" w:themeColor="accent1" w:themeShade="BF"/>
    </w:rPr>
  </w:style>
  <w:style w:type="character" w:styleId="762">
    <w:name w:val="Intense Reference"/>
    <w:basedOn w:val="740"/>
    <w:uiPriority w:val="32"/>
    <w:qFormat/>
    <w:pPr>
      <w:pBdr/>
      <w:spacing/>
      <w:ind/>
    </w:pPr>
    <w:rPr>
      <w:b/>
      <w:bCs/>
      <w:smallCaps/>
      <w:color w:val="0f4761" w:themeColor="accent1" w:themeShade="BF"/>
      <w:spacing w:val="5"/>
    </w:rPr>
  </w:style>
  <w:style w:type="paragraph" w:styleId="763">
    <w:name w:val="No Spacing"/>
    <w:uiPriority w:val="1"/>
    <w:qFormat/>
    <w:pPr>
      <w:pBdr/>
      <w:spacing w:after="0" w:line="240" w:lineRule="auto"/>
      <w:ind/>
    </w:pPr>
  </w:style>
  <w:style w:type="character" w:styleId="764">
    <w:name w:val="Hyperlink"/>
    <w:basedOn w:val="740"/>
    <w:uiPriority w:val="99"/>
    <w:unhideWhenUsed/>
    <w:pPr>
      <w:pBdr/>
      <w:spacing/>
      <w:ind/>
    </w:pPr>
    <w:rPr>
      <w:color w:val="467886" w:themeColor="hyperlink"/>
      <w:u w:val="single"/>
    </w:rPr>
  </w:style>
  <w:style w:type="character" w:styleId="765">
    <w:name w:val="Unresolved Mention"/>
    <w:basedOn w:val="740"/>
    <w:uiPriority w:val="99"/>
    <w:semiHidden/>
    <w:unhideWhenUsed/>
    <w:pPr>
      <w:pBdr/>
      <w:spacing/>
      <w:ind/>
    </w:pPr>
    <w:rPr>
      <w:color w:val="605e5c"/>
      <w:shd w:val="clear" w:color="auto" w:fill="e1dfdd"/>
    </w:rPr>
  </w:style>
  <w:style w:type="paragraph" w:styleId="766">
    <w:name w:val="Header"/>
    <w:basedOn w:val="730"/>
    <w:link w:val="767"/>
    <w:uiPriority w:val="99"/>
    <w:unhideWhenUsed/>
    <w:pPr>
      <w:pBdr/>
      <w:tabs>
        <w:tab w:val="center" w:leader="none" w:pos="4536"/>
        <w:tab w:val="right" w:leader="none" w:pos="9072"/>
      </w:tabs>
      <w:spacing w:after="0" w:line="240" w:lineRule="auto"/>
      <w:ind/>
    </w:pPr>
  </w:style>
  <w:style w:type="character" w:styleId="767" w:customStyle="1">
    <w:name w:val="Záhlaví Char"/>
    <w:basedOn w:val="740"/>
    <w:link w:val="766"/>
    <w:uiPriority w:val="99"/>
    <w:pPr>
      <w:pBdr/>
      <w:spacing/>
      <w:ind/>
    </w:pPr>
  </w:style>
  <w:style w:type="paragraph" w:styleId="768">
    <w:name w:val="Footer"/>
    <w:basedOn w:val="730"/>
    <w:link w:val="769"/>
    <w:uiPriority w:val="99"/>
    <w:unhideWhenUsed/>
    <w:pPr>
      <w:pBdr/>
      <w:tabs>
        <w:tab w:val="center" w:leader="none" w:pos="4536"/>
        <w:tab w:val="right" w:leader="none" w:pos="9072"/>
      </w:tabs>
      <w:spacing w:after="0" w:line="240" w:lineRule="auto"/>
      <w:ind/>
    </w:pPr>
  </w:style>
  <w:style w:type="character" w:styleId="769" w:customStyle="1">
    <w:name w:val="Zápatí Char"/>
    <w:basedOn w:val="740"/>
    <w:link w:val="768"/>
    <w:uiPriority w:val="99"/>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ONLYOFFICE/9.4.0.129</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Kojanová Martina, MUDr. Ph.D.</dc:creator>
  <cp:keywords/>
  <dc:description/>
  <cp:revision>4</cp:revision>
  <dcterms:created xsi:type="dcterms:W3CDTF">2026-05-28T11:40:00Z</dcterms:created>
  <dcterms:modified xsi:type="dcterms:W3CDTF">2026-06-04T13:06:04Z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2025-12-16T12:56:33Z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a023545d-c895-4903-831a-55f284c30cef</vt:lpwstr>
  </property>
  <property fmtid="{D5CDD505-2E9C-101B-9397-08002B2CF9AE}" pid="8" name="MSIP_Label_2063cd7f-2d21-486a-9f29-9c1683fdd175_ContentBits">
    <vt:lpwstr>0</vt:lpwstr>
  </property>
  <property fmtid="{D5CDD505-2E9C-101B-9397-08002B2CF9AE}" pid="9" name="MSIP_Label_2063cd7f-2d21-486a-9f29-9c1683fdd175_Tag">
    <vt:lpwstr>10, 3, 0, 1</vt:lpwstr>
  </property>
</Properties>
</file>